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A2540"/>
          <w:sz w:val="80"/>
          <w:szCs w:val="80"/>
        </w:rPr>
        <w:t xml:space="preserve">AeroOS</w:t>
      </w:r>
    </w:p>
    <w:p>
      <w:pPr>
        <w:spacing w:after="160" w:before="0"/>
        <w:jc w:val="center"/>
      </w:pPr>
      <w:r>
        <w:rPr>
          <w:rFonts w:ascii="Arial" w:cs="Arial" w:eastAsia="Arial" w:hAnsi="Arial"/>
          <w:i/>
          <w:iCs/>
          <w:color w:val="0694A2"/>
          <w:sz w:val="32"/>
          <w:szCs w:val="32"/>
        </w:rPr>
        <w:t xml:space="preserve">Le système d'exploitation des actifs aéronautiques</w:t>
      </w:r>
    </w:p>
    <w:p>
      <w:pPr>
        <w:pBdr>
          <w:bottom w:val="single" w:color="1A56DB" w:sz="6" w:space="8"/>
        </w:pBdr>
        <w:spacing w:after="800" w:before="0"/>
        <w:jc w:val="center"/>
      </w:pPr>
      <w:r>
        <w:t xml:space="preserve"/>
      </w:r>
    </w:p>
    <w:p>
      <w:pPr>
        <w:spacing w:after="200" w:before="0"/>
      </w:pPr>
      <w:r>
        <w:t xml:space="preserve"/>
      </w:r>
    </w:p>
    <w:p>
      <w:pPr>
        <w:spacing w:after="120" w:before="400"/>
        <w:jc w:val="center"/>
      </w:pPr>
      <w:r>
        <w:rPr>
          <w:rFonts w:ascii="Arial" w:cs="Arial" w:eastAsia="Arial" w:hAnsi="Arial"/>
          <w:b/>
          <w:bCs/>
          <w:color w:val="0A2540"/>
          <w:sz w:val="24"/>
          <w:szCs w:val="24"/>
        </w:rPr>
        <w:t xml:space="preserve">Document confidentiel — Investisseurs</w:t>
      </w:r>
    </w:p>
    <w:p>
      <w:pPr>
        <w:jc w:val="center"/>
      </w:pPr>
      <w:r>
        <w:rPr>
          <w:rFonts w:ascii="Arial" w:cs="Arial" w:eastAsia="Arial" w:hAnsi="Arial"/>
          <w:color w:val="6B7280"/>
          <w:sz w:val="22"/>
          <w:szCs w:val="22"/>
        </w:rPr>
        <w:t xml:space="preserve">Juin 2025</w:t>
      </w:r>
    </w:p>
    <w:p>
      <w:pPr>
        <w:spacing w:after="400" w:before="0"/>
      </w:pPr>
      <w:r>
        <w:t xml:space="preserve"/>
      </w:r>
    </w:p>
    <w:p>
      <w:pPr>
        <w:jc w:val="center"/>
      </w:pPr>
      <w:r>
        <w:rPr>
          <w:rFonts w:ascii="Arial" w:cs="Arial" w:eastAsia="Arial" w:hAnsi="Arial"/>
          <w:b/>
          <w:bCs/>
          <w:color w:val="E53E3E"/>
          <w:sz w:val="18"/>
          <w:szCs w:val="18"/>
        </w:rPr>
        <w:t xml:space="preserve">CONFIDENTIEL — NE PAS DIFFUSER SANS AUTORISATION</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1. Résumé exécutif</w:t>
      </w:r>
    </w:p>
    <w:p>
      <w:pPr>
        <w:spacing w:after="80" w:before="60" w:line="276"/>
      </w:pPr>
      <w:r>
        <w:rPr>
          <w:rFonts w:ascii="Arial" w:cs="Arial" w:eastAsia="Arial" w:hAnsi="Arial"/>
          <w:b w:val="false"/>
          <w:bCs w:val="false"/>
          <w:i w:val="false"/>
          <w:iCs w:val="false"/>
          <w:color w:val="111827"/>
          <w:sz w:val="22"/>
          <w:szCs w:val="22"/>
        </w:rPr>
        <w:t xml:space="preserve">AeroOS est une plateforme technologique conçue pour devenir l'infrastructure numérique de référence de l'industrie aéronautique mondiale. L'objectif n'est pas de créer une société de leasing, mais de construire le système que tous les acteurs du secteur — lessors, compagnies aériennes, banques, fonds, MRO, assureurs — utilisent pour gérer leurs actifs.</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L'ambition est comparable à ce que Bloomberg représente pour la finance ou ce qu'un ERP représente pour une entreprise : un point de convergence central où la donnée, la finance, la technique et l'intelligence artificielle se rejoignent pour devenir incontournables.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~28 000</w:t>
            </w:r>
          </w:p>
          <w:p>
            <w:pPr>
              <w:spacing w:before="40"/>
              <w:jc w:val="center"/>
            </w:pPr>
            <w:r>
              <w:rPr>
                <w:rFonts w:ascii="Arial" w:cs="Arial" w:eastAsia="Arial" w:hAnsi="Arial"/>
                <w:color w:val="6B7280"/>
                <w:sz w:val="18"/>
                <w:szCs w:val="18"/>
              </w:rPr>
              <w:t xml:space="preserve">Avions sous leasing dans le monde</w:t>
            </w:r>
          </w:p>
          <w:p>
            <w:pPr>
              <w:jc w:val="center"/>
            </w:pPr>
            <w:r>
              <w:rPr>
                <w:rFonts w:ascii="Arial" w:cs="Arial" w:eastAsia="Arial" w:hAnsi="Arial"/>
                <w:i/>
                <w:iCs/>
                <w:color w:val="0694A2"/>
                <w:sz w:val="16"/>
                <w:szCs w:val="16"/>
              </w:rPr>
              <w:t xml:space="preserve">dont ~50 % sous contrat</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$900 Md</w:t>
            </w:r>
          </w:p>
          <w:p>
            <w:pPr>
              <w:spacing w:before="40"/>
              <w:jc w:val="center"/>
            </w:pPr>
            <w:r>
              <w:rPr>
                <w:rFonts w:ascii="Arial" w:cs="Arial" w:eastAsia="Arial" w:hAnsi="Arial"/>
                <w:color w:val="6B7280"/>
                <w:sz w:val="18"/>
                <w:szCs w:val="18"/>
              </w:rPr>
              <w:t xml:space="preserve">Valeur du marché du leasing</w:t>
            </w:r>
          </w:p>
          <w:p>
            <w:pPr>
              <w:jc w:val="center"/>
            </w:pPr>
            <w:r>
              <w:rPr>
                <w:rFonts w:ascii="Arial" w:cs="Arial" w:eastAsia="Arial" w:hAnsi="Arial"/>
                <w:i/>
                <w:iCs/>
                <w:color w:val="0694A2"/>
                <w:sz w:val="16"/>
                <w:szCs w:val="16"/>
              </w:rPr>
              <w:t xml:space="preserve">en croissance structurelle</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200+</w:t>
            </w:r>
          </w:p>
          <w:p>
            <w:pPr>
              <w:spacing w:before="40"/>
              <w:jc w:val="center"/>
            </w:pPr>
            <w:r>
              <w:rPr>
                <w:rFonts w:ascii="Arial" w:cs="Arial" w:eastAsia="Arial" w:hAnsi="Arial"/>
                <w:color w:val="6B7280"/>
                <w:sz w:val="18"/>
                <w:szCs w:val="18"/>
              </w:rPr>
              <w:t xml:space="preserve">Acteurs du marché (lessors)</w:t>
            </w:r>
          </w:p>
          <w:p>
            <w:pPr>
              <w:jc w:val="center"/>
            </w:pPr>
            <w:r>
              <w:rPr>
                <w:rFonts w:ascii="Arial" w:cs="Arial" w:eastAsia="Arial" w:hAnsi="Arial"/>
                <w:i/>
                <w:iCs/>
                <w:color w:val="0694A2"/>
                <w:sz w:val="16"/>
                <w:szCs w:val="16"/>
              </w:rPr>
              <w:t xml:space="preserve">dont 150+ sous-servis</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€180 M</w:t>
            </w:r>
          </w:p>
          <w:p>
            <w:pPr>
              <w:spacing w:before="40"/>
              <w:jc w:val="center"/>
            </w:pPr>
            <w:r>
              <w:rPr>
                <w:rFonts w:ascii="Arial" w:cs="Arial" w:eastAsia="Arial" w:hAnsi="Arial"/>
                <w:color w:val="6B7280"/>
                <w:sz w:val="18"/>
                <w:szCs w:val="18"/>
              </w:rPr>
              <w:t xml:space="preserve">Part de marché adressable MVP</w:t>
            </w:r>
          </w:p>
          <w:p>
            <w:pPr>
              <w:jc w:val="center"/>
            </w:pPr>
            <w:r>
              <w:rPr>
                <w:rFonts w:ascii="Arial" w:cs="Arial" w:eastAsia="Arial" w:hAnsi="Arial"/>
                <w:i/>
                <w:iCs/>
                <w:color w:val="0694A2"/>
                <w:sz w:val="16"/>
                <w:szCs w:val="16"/>
              </w:rPr>
              <w:t xml:space="preserve">ARR potentiel à 5 ans</w:t>
            </w:r>
          </w:p>
        </w:tc>
      </w:tr>
    </w:tbl>
    <w:p>
      <w:pPr>
        <w:spacing w:after="2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La philosophie fondatrice : devenir indispensable avant de posséder des actifs. Lorsque la plateforme est le point de passage naturel de toute décision liée à un actif aéronautique, le leasing devient une évolution logique — pas un point de départ.</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2. Le problème</w:t>
      </w:r>
    </w:p>
    <w:p>
      <w:pPr>
        <w:spacing w:after="80" w:before="60" w:line="276"/>
      </w:pPr>
      <w:r>
        <w:rPr>
          <w:rFonts w:ascii="Arial" w:cs="Arial" w:eastAsia="Arial" w:hAnsi="Arial"/>
          <w:b w:val="false"/>
          <w:bCs w:val="false"/>
          <w:i w:val="false"/>
          <w:iCs w:val="false"/>
          <w:color w:val="111827"/>
          <w:sz w:val="22"/>
          <w:szCs w:val="22"/>
        </w:rPr>
        <w:t xml:space="preserve">L'industrie aéronautique gère des actifs dont la valeur unitaire dépasse souvent 100 millions de dollars. Pourtant, la gestion de ces actifs reste profondément fragmentée :</w:t>
      </w:r>
    </w:p>
    <w:p>
      <w:pPr>
        <w:spacing w:after="100" w:before="0"/>
      </w:pPr>
      <w:r>
        <w:t xml:space="preserve"/>
      </w:r>
    </w:p>
    <w:p>
      <w:pPr>
        <w:pStyle w:val="ListParagraph"/>
        <w:numPr>
          <w:ilvl w:val="0"/>
          <w:numId w:val="2"/>
        </w:numPr>
        <w:spacing w:after="40" w:before="40"/>
      </w:pPr>
      <w:r>
        <w:rPr>
          <w:rFonts w:ascii="Arial" w:cs="Arial" w:eastAsia="Arial" w:hAnsi="Arial"/>
          <w:b w:val="false"/>
          <w:bCs w:val="false"/>
          <w:color w:val="111827"/>
          <w:sz w:val="22"/>
          <w:szCs w:val="22"/>
        </w:rPr>
        <w:t xml:space="preserve">Les données sont dispersées entre Cirium, ch-aviation, des fichiers Excel internes et des e-mails.</w:t>
      </w:r>
    </w:p>
    <w:p>
      <w:pPr>
        <w:pStyle w:val="ListParagraph"/>
        <w:numPr>
          <w:ilvl w:val="0"/>
          <w:numId w:val="2"/>
        </w:numPr>
        <w:spacing w:after="40" w:before="40"/>
      </w:pPr>
      <w:r>
        <w:rPr>
          <w:rFonts w:ascii="Arial" w:cs="Arial" w:eastAsia="Arial" w:hAnsi="Arial"/>
          <w:b w:val="false"/>
          <w:bCs w:val="false"/>
          <w:color w:val="111827"/>
          <w:sz w:val="22"/>
          <w:szCs w:val="22"/>
        </w:rPr>
        <w:t xml:space="preserve">Les contrats de leasing sont gérés dans des outils spécialisés déconnectés des données techniques.</w:t>
      </w:r>
    </w:p>
    <w:p>
      <w:pPr>
        <w:pStyle w:val="ListParagraph"/>
        <w:numPr>
          <w:ilvl w:val="0"/>
          <w:numId w:val="2"/>
        </w:numPr>
        <w:spacing w:after="40" w:before="40"/>
      </w:pPr>
      <w:r>
        <w:rPr>
          <w:rFonts w:ascii="Arial" w:cs="Arial" w:eastAsia="Arial" w:hAnsi="Arial"/>
          <w:b w:val="false"/>
          <w:bCs w:val="false"/>
          <w:color w:val="111827"/>
          <w:sz w:val="22"/>
          <w:szCs w:val="22"/>
        </w:rPr>
        <w:t xml:space="preserve">La maintenance est suivie dans des ERP MRO fermés, inaccessibles aux lessors.</w:t>
      </w:r>
    </w:p>
    <w:p>
      <w:pPr>
        <w:pStyle w:val="ListParagraph"/>
        <w:numPr>
          <w:ilvl w:val="0"/>
          <w:numId w:val="2"/>
        </w:numPr>
        <w:spacing w:after="40" w:before="40"/>
      </w:pPr>
      <w:r>
        <w:rPr>
          <w:rFonts w:ascii="Arial" w:cs="Arial" w:eastAsia="Arial" w:hAnsi="Arial"/>
          <w:b w:val="false"/>
          <w:bCs w:val="false"/>
          <w:color w:val="111827"/>
          <w:sz w:val="22"/>
          <w:szCs w:val="22"/>
        </w:rPr>
        <w:t xml:space="preserve">La valorisation repose sur des appraisals coûteux commandés ponctuellement à des cabinets spécialisés.</w:t>
      </w:r>
    </w:p>
    <w:p>
      <w:pPr>
        <w:pStyle w:val="ListParagraph"/>
        <w:numPr>
          <w:ilvl w:val="0"/>
          <w:numId w:val="2"/>
        </w:numPr>
        <w:spacing w:after="40" w:before="40"/>
      </w:pPr>
      <w:r>
        <w:rPr>
          <w:rFonts w:ascii="Arial" w:cs="Arial" w:eastAsia="Arial" w:hAnsi="Arial"/>
          <w:b w:val="false"/>
          <w:bCs w:val="false"/>
          <w:color w:val="111827"/>
          <w:sz w:val="22"/>
          <w:szCs w:val="22"/>
        </w:rPr>
        <w:t xml:space="preserve">Il n'existe aucune marketplace unifiée permettant de rechercher, comparer et transacter sur des actifs aéronautiques.</w:t>
      </w:r>
    </w:p>
    <w:p>
      <w:pPr>
        <w:pStyle w:val="ListParagraph"/>
        <w:numPr>
          <w:ilvl w:val="0"/>
          <w:numId w:val="2"/>
        </w:numPr>
        <w:spacing w:after="40" w:before="40"/>
      </w:pPr>
      <w:r>
        <w:rPr>
          <w:rFonts w:ascii="Arial" w:cs="Arial" w:eastAsia="Arial" w:hAnsi="Arial"/>
          <w:b w:val="false"/>
          <w:bCs w:val="false"/>
          <w:color w:val="111827"/>
          <w:sz w:val="22"/>
          <w:szCs w:val="22"/>
        </w:rPr>
        <w:t xml:space="preserve">L'IA est absente de la prise de décision opérationnelle pour la grande majorité des acteurs.</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Le résultat : un lessor de taille moyenne gère un portefeuille d'un milliard d'euros avec Excel, des boîtes mail et trois abonnements de données distincts. Aucun système ne lui donne une vision consolidée en temps réel de ses actifs, contrats, cash-flows et risques.</w:t>
      </w:r>
    </w:p>
    <w:p>
      <w:pPr>
        <w:spacing w:after="100" w:before="0"/>
      </w:pPr>
      <w:r>
        <w:t xml:space="preserve"/>
      </w:r>
    </w:p>
    <w:p>
      <w:pPr>
        <w:spacing w:after="80" w:before="60" w:line="276"/>
      </w:pPr>
      <w:r>
        <w:rPr>
          <w:rFonts w:ascii="Arial" w:cs="Arial" w:eastAsia="Arial" w:hAnsi="Arial"/>
          <w:b/>
          <w:bCs/>
          <w:i w:val="false"/>
          <w:iCs w:val="false"/>
          <w:color w:val="0A2540"/>
          <w:sz w:val="22"/>
          <w:szCs w:val="22"/>
        </w:rPr>
        <w:t xml:space="preserve">Ce problème est structurel. Il n'est pas résolu par les acteurs existants, qui sont chacun excellents dans leur domaine mais incapables — ou peu motivés — à construire l'intégration transversale.</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3. La solution — AeroOS</w:t>
      </w:r>
    </w:p>
    <w:p>
      <w:pPr>
        <w:spacing w:after="80" w:before="60" w:line="276"/>
      </w:pPr>
      <w:r>
        <w:rPr>
          <w:rFonts w:ascii="Arial" w:cs="Arial" w:eastAsia="Arial" w:hAnsi="Arial"/>
          <w:b w:val="false"/>
          <w:bCs w:val="false"/>
          <w:i w:val="false"/>
          <w:iCs w:val="false"/>
          <w:color w:val="111827"/>
          <w:sz w:val="22"/>
          <w:szCs w:val="22"/>
        </w:rPr>
        <w:t xml:space="preserve">AeroOS est une plateforme SaaS multi-tenant construite autour d'un concept central : le jumeau numérique de chaque actif aéronautique.</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Chaque avion, moteur et composant critique possède une fiche numérique unique qui concentre en permanence :</w:t>
      </w:r>
    </w:p>
    <w:p>
      <w:pPr>
        <w:pStyle w:val="ListParagraph"/>
        <w:numPr>
          <w:ilvl w:val="0"/>
          <w:numId w:val="2"/>
        </w:numPr>
        <w:spacing w:after="40" w:before="40"/>
      </w:pPr>
      <w:r>
        <w:rPr>
          <w:rFonts w:ascii="Arial" w:cs="Arial" w:eastAsia="Arial" w:hAnsi="Arial"/>
          <w:b w:val="false"/>
          <w:bCs w:val="false"/>
          <w:color w:val="111827"/>
          <w:sz w:val="22"/>
          <w:szCs w:val="22"/>
        </w:rPr>
        <w:t xml:space="preserve">Son état technique complet (heures, cycles, configuration, AD, SB)</w:t>
      </w:r>
    </w:p>
    <w:p>
      <w:pPr>
        <w:pStyle w:val="ListParagraph"/>
        <w:numPr>
          <w:ilvl w:val="0"/>
          <w:numId w:val="2"/>
        </w:numPr>
        <w:spacing w:after="40" w:before="40"/>
      </w:pPr>
      <w:r>
        <w:rPr>
          <w:rFonts w:ascii="Arial" w:cs="Arial" w:eastAsia="Arial" w:hAnsi="Arial"/>
          <w:b w:val="false"/>
          <w:bCs w:val="false"/>
          <w:color w:val="111827"/>
          <w:sz w:val="22"/>
          <w:szCs w:val="22"/>
        </w:rPr>
        <w:t xml:space="preserve">Son historique d'opérateurs et d'événements</w:t>
      </w:r>
    </w:p>
    <w:p>
      <w:pPr>
        <w:pStyle w:val="ListParagraph"/>
        <w:numPr>
          <w:ilvl w:val="0"/>
          <w:numId w:val="2"/>
        </w:numPr>
        <w:spacing w:after="40" w:before="40"/>
      </w:pPr>
      <w:r>
        <w:rPr>
          <w:rFonts w:ascii="Arial" w:cs="Arial" w:eastAsia="Arial" w:hAnsi="Arial"/>
          <w:b w:val="false"/>
          <w:bCs w:val="false"/>
          <w:color w:val="111827"/>
          <w:sz w:val="22"/>
          <w:szCs w:val="22"/>
        </w:rPr>
        <w:t xml:space="preserve">Son contrat de location actuel et ses conditions financières</w:t>
      </w:r>
    </w:p>
    <w:p>
      <w:pPr>
        <w:pStyle w:val="ListParagraph"/>
        <w:numPr>
          <w:ilvl w:val="0"/>
          <w:numId w:val="2"/>
        </w:numPr>
        <w:spacing w:after="40" w:before="40"/>
      </w:pPr>
      <w:r>
        <w:rPr>
          <w:rFonts w:ascii="Arial" w:cs="Arial" w:eastAsia="Arial" w:hAnsi="Arial"/>
          <w:b w:val="false"/>
          <w:bCs w:val="false"/>
          <w:color w:val="111827"/>
          <w:sz w:val="22"/>
          <w:szCs w:val="22"/>
        </w:rPr>
        <w:t xml:space="preserve">Sa valeur actuelle, résiduelle et historique</w:t>
      </w:r>
    </w:p>
    <w:p>
      <w:pPr>
        <w:pStyle w:val="ListParagraph"/>
        <w:numPr>
          <w:ilvl w:val="0"/>
          <w:numId w:val="2"/>
        </w:numPr>
        <w:spacing w:after="40" w:before="40"/>
      </w:pPr>
      <w:r>
        <w:rPr>
          <w:rFonts w:ascii="Arial" w:cs="Arial" w:eastAsia="Arial" w:hAnsi="Arial"/>
          <w:b w:val="false"/>
          <w:bCs w:val="false"/>
          <w:color w:val="111827"/>
          <w:sz w:val="22"/>
          <w:szCs w:val="22"/>
        </w:rPr>
        <w:t xml:space="preserve">Ses documents associés (certificats, rapports, contrats)</w:t>
      </w:r>
    </w:p>
    <w:p>
      <w:pPr>
        <w:pStyle w:val="ListParagraph"/>
        <w:numPr>
          <w:ilvl w:val="0"/>
          <w:numId w:val="2"/>
        </w:numPr>
        <w:spacing w:after="40" w:before="40"/>
      </w:pPr>
      <w:r>
        <w:rPr>
          <w:rFonts w:ascii="Arial" w:cs="Arial" w:eastAsia="Arial" w:hAnsi="Arial"/>
          <w:b w:val="false"/>
          <w:bCs w:val="false"/>
          <w:color w:val="111827"/>
          <w:sz w:val="22"/>
          <w:szCs w:val="22"/>
        </w:rPr>
        <w:t xml:space="preserve">Ses tâches de maintenance planifiées et leurs coûts estimés</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Cette fiche unique devient la source de vérité pour tous les modules de la plateforme. Elle permet d'éliminer la dispersion des données et de construire des analyses que aucun acteur ne peut produire aujourd'hui.</w:t>
      </w:r>
    </w:p>
    <w:p>
      <w:pPr>
        <w:spacing w:after="100" w:before="0"/>
      </w:pPr>
      <w:r>
        <w:t xml:space="preserve"/>
      </w:r>
    </w:p>
    <w:p>
      <w:pPr>
        <w:pStyle w:val="Heading2"/>
        <w:spacing w:after="120" w:before="320"/>
      </w:pPr>
      <w:r>
        <w:rPr>
          <w:rFonts w:ascii="Arial" w:cs="Arial" w:eastAsia="Arial" w:hAnsi="Arial"/>
          <w:b/>
          <w:bCs/>
          <w:color w:val="0A2540"/>
          <w:sz w:val="28"/>
          <w:szCs w:val="28"/>
        </w:rPr>
        <w:t xml:space="preserve">3.1 Les six modules du MVP</w:t>
      </w:r>
    </w:p>
    <w:p>
      <w:pPr>
        <w:spacing w:after="80" w:before="60" w:line="276"/>
      </w:pPr>
      <w:r>
        <w:rPr>
          <w:rFonts w:ascii="Arial" w:cs="Arial" w:eastAsia="Arial" w:hAnsi="Arial"/>
          <w:b w:val="false"/>
          <w:bCs w:val="false"/>
          <w:i w:val="false"/>
          <w:iCs w:val="false"/>
          <w:color w:val="111827"/>
          <w:sz w:val="22"/>
          <w:szCs w:val="22"/>
        </w:rPr>
        <w:t xml:space="preserve">Le produit minimal viable cible les lessors indépendants de taille moyenne (5 à 50 avions). Il est composé de six modules fonctionnellement intégrés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Module MVP</w:t>
            </w:r>
          </w:p>
        </w:tc>
        <w:tc>
          <w:tcPr>
            <w:tcW w:type="dxa" w:w="71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 fonctionnelle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Asset Intelligence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Jumeau numérique de chaque actif. Fiche complète : identité, état technique, historique, opérateurs, configuration.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Leasing Management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Cycle de vie complet d'un contrat de leasing. Paiements, MR reserves, alertes, signature électronique, restitution.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Portfolio Dashboard</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Vue consolidée en temps réel. KPIs, cash-flow 12 mois, concentration des risques, maturity ladder des contrats.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Document Vault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Archivage sécurisé structuré par taxonomie. Recherche full-text. Versioning. Contrôle d'accès par rôle.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Valuation Engine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Calcul automatique mensuel : Base Value, Current Market Value, Residual Value. Courbes de décote par type et âge.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IA de base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Extraction automatique des champs d'un contrat PDF. Résumé des rapports techniques. Validation humaine obligatoire.</w:t>
            </w:r>
          </w:p>
        </w:tc>
      </w:tr>
    </w:tbl>
    <w:p>
      <w:pPr>
        <w:spacing w:after="200" w:before="0"/>
      </w:pPr>
      <w:r>
        <w:t xml:space="preserve"/>
      </w:r>
    </w:p>
    <w:p>
      <w:pPr>
        <w:pStyle w:val="Heading2"/>
        <w:spacing w:after="120" w:before="320"/>
      </w:pPr>
      <w:r>
        <w:rPr>
          <w:rFonts w:ascii="Arial" w:cs="Arial" w:eastAsia="Arial" w:hAnsi="Arial"/>
          <w:b/>
          <w:bCs/>
          <w:color w:val="0A2540"/>
          <w:sz w:val="28"/>
          <w:szCs w:val="28"/>
        </w:rPr>
        <w:t xml:space="preserve">3.2 L'intelligence artificielle comme différenciateur</w:t>
      </w:r>
    </w:p>
    <w:p>
      <w:pPr>
        <w:spacing w:after="80" w:before="60" w:line="276"/>
      </w:pPr>
      <w:r>
        <w:rPr>
          <w:rFonts w:ascii="Arial" w:cs="Arial" w:eastAsia="Arial" w:hAnsi="Arial"/>
          <w:b w:val="false"/>
          <w:bCs w:val="false"/>
          <w:i w:val="false"/>
          <w:iCs w:val="false"/>
          <w:color w:val="111827"/>
          <w:sz w:val="22"/>
          <w:szCs w:val="22"/>
        </w:rPr>
        <w:t xml:space="preserve">L'IA n'est pas une fonctionnalité ajoutée — c'est le facteur de différenciation principal d'AeroOS. Dès le MVP, deux capacités sont déployées :</w:t>
      </w:r>
    </w:p>
    <w:p>
      <w:pPr>
        <w:spacing w:after="100" w:before="0"/>
      </w:pPr>
      <w:r>
        <w:t xml:space="preserve"/>
      </w:r>
    </w:p>
    <w:p>
      <w:pPr>
        <w:pStyle w:val="ListParagraph"/>
        <w:numPr>
          <w:ilvl w:val="0"/>
          <w:numId w:val="2"/>
        </w:numPr>
        <w:spacing w:after="40" w:before="40"/>
      </w:pPr>
      <w:r>
        <w:rPr>
          <w:rFonts w:ascii="Arial" w:cs="Arial" w:eastAsia="Arial" w:hAnsi="Arial"/>
          <w:b w:val="false"/>
          <w:bCs w:val="false"/>
          <w:color w:val="111827"/>
          <w:sz w:val="22"/>
          <w:szCs w:val="22"/>
        </w:rPr>
        <w:t xml:space="preserve">Lecture automatique des contrats PDF : extraction des 18 champs clés (parties, dates, conditions financières, clauses spéciales) avec scoring de confiance et validation humaine obligatoire avant enregistrement.</w:t>
      </w:r>
    </w:p>
    <w:p>
      <w:pPr>
        <w:pStyle w:val="ListParagraph"/>
        <w:numPr>
          <w:ilvl w:val="0"/>
          <w:numId w:val="2"/>
        </w:numPr>
        <w:spacing w:after="40" w:before="40"/>
      </w:pPr>
      <w:r>
        <w:rPr>
          <w:rFonts w:ascii="Arial" w:cs="Arial" w:eastAsia="Arial" w:hAnsi="Arial"/>
          <w:b w:val="false"/>
          <w:bCs w:val="false"/>
          <w:color w:val="111827"/>
          <w:sz w:val="22"/>
          <w:szCs w:val="22"/>
        </w:rPr>
        <w:t xml:space="preserve">Résumé automatique des rapports techniques : un rapport de 48 pages d'engine shop visit est condensé en une fiche d'une page en langage naturel.</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À terme, l'IA devient un copilote décisionnel capable de répondre à des questions comme : quel est le meilleur moment pour vendre cet actif ? Quelle compagnie présente un risque croissant ? Quel portefeuille est sous-évalué par rapport au marché ?</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4. Analyse de marché</w:t>
      </w:r>
    </w:p>
    <w:p>
      <w:pPr>
        <w:pStyle w:val="Heading2"/>
        <w:spacing w:after="120" w:before="320"/>
      </w:pPr>
      <w:r>
        <w:rPr>
          <w:rFonts w:ascii="Arial" w:cs="Arial" w:eastAsia="Arial" w:hAnsi="Arial"/>
          <w:b/>
          <w:bCs/>
          <w:color w:val="0A2540"/>
          <w:sz w:val="28"/>
          <w:szCs w:val="28"/>
        </w:rPr>
        <w:t xml:space="preserve">4.1 Taille du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28 000+</w:t>
            </w:r>
          </w:p>
          <w:p>
            <w:pPr>
              <w:spacing w:before="40"/>
              <w:jc w:val="center"/>
            </w:pPr>
            <w:r>
              <w:rPr>
                <w:rFonts w:ascii="Arial" w:cs="Arial" w:eastAsia="Arial" w:hAnsi="Arial"/>
                <w:color w:val="6B7280"/>
                <w:sz w:val="18"/>
                <w:szCs w:val="18"/>
              </w:rPr>
              <w:t xml:space="preserve">Avions en service mondial</w:t>
            </w:r>
          </w:p>
          <w:p>
            <w:pPr>
              <w:jc w:val="center"/>
            </w:pPr>
            <w:r>
              <w:rPr>
                <w:rFonts w:ascii="Arial" w:cs="Arial" w:eastAsia="Arial" w:hAnsi="Arial"/>
                <w:i/>
                <w:iCs/>
                <w:color w:val="0694A2"/>
                <w:sz w:val="16"/>
                <w:szCs w:val="16"/>
              </w:rPr>
              <w:t xml:space="preserve">Source : Cirium 2024</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~50 %</w:t>
            </w:r>
          </w:p>
          <w:p>
            <w:pPr>
              <w:spacing w:before="40"/>
              <w:jc w:val="center"/>
            </w:pPr>
            <w:r>
              <w:rPr>
                <w:rFonts w:ascii="Arial" w:cs="Arial" w:eastAsia="Arial" w:hAnsi="Arial"/>
                <w:color w:val="6B7280"/>
                <w:sz w:val="18"/>
                <w:szCs w:val="18"/>
              </w:rPr>
              <w:t xml:space="preserve">Part opérée sous leasing</w:t>
            </w:r>
          </w:p>
          <w:p>
            <w:pPr>
              <w:jc w:val="center"/>
            </w:pPr>
            <w:r>
              <w:rPr>
                <w:rFonts w:ascii="Arial" w:cs="Arial" w:eastAsia="Arial" w:hAnsi="Arial"/>
                <w:i/>
                <w:iCs/>
                <w:color w:val="0694A2"/>
                <w:sz w:val="16"/>
                <w:szCs w:val="16"/>
              </w:rPr>
              <w:t xml:space="preserve">En hausse structurelle</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200+</w:t>
            </w:r>
          </w:p>
          <w:p>
            <w:pPr>
              <w:spacing w:before="40"/>
              <w:jc w:val="center"/>
            </w:pPr>
            <w:r>
              <w:rPr>
                <w:rFonts w:ascii="Arial" w:cs="Arial" w:eastAsia="Arial" w:hAnsi="Arial"/>
                <w:color w:val="6B7280"/>
                <w:sz w:val="18"/>
                <w:szCs w:val="18"/>
              </w:rPr>
              <w:t xml:space="preserve">Nombre de lessors actifs</w:t>
            </w:r>
          </w:p>
          <w:p>
            <w:pPr>
              <w:jc w:val="center"/>
            </w:pPr>
            <w:r>
              <w:rPr>
                <w:rFonts w:ascii="Arial" w:cs="Arial" w:eastAsia="Arial" w:hAnsi="Arial"/>
                <w:i/>
                <w:iCs/>
                <w:color w:val="0694A2"/>
                <w:sz w:val="16"/>
                <w:szCs w:val="16"/>
              </w:rPr>
              <w:t xml:space="preserve">Dont 150+ mid-market</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$4,2 Md</w:t>
            </w:r>
          </w:p>
          <w:p>
            <w:pPr>
              <w:spacing w:before="40"/>
              <w:jc w:val="center"/>
            </w:pPr>
            <w:r>
              <w:rPr>
                <w:rFonts w:ascii="Arial" w:cs="Arial" w:eastAsia="Arial" w:hAnsi="Arial"/>
                <w:color w:val="6B7280"/>
                <w:sz w:val="18"/>
                <w:szCs w:val="18"/>
              </w:rPr>
              <w:t xml:space="preserve">Dépenses IT aéro. (logiciels)</w:t>
            </w:r>
          </w:p>
          <w:p>
            <w:pPr>
              <w:jc w:val="center"/>
            </w:pPr>
            <w:r>
              <w:rPr>
                <w:rFonts w:ascii="Arial" w:cs="Arial" w:eastAsia="Arial" w:hAnsi="Arial"/>
                <w:i/>
                <w:iCs/>
                <w:color w:val="0694A2"/>
                <w:sz w:val="16"/>
                <w:szCs w:val="16"/>
              </w:rPr>
              <w:t xml:space="preserve">CAGR 8 % à 2030</w:t>
            </w:r>
          </w:p>
        </w:tc>
      </w:tr>
    </w:tbl>
    <w:p>
      <w:pPr>
        <w:spacing w:after="200" w:before="0"/>
      </w:pPr>
      <w:r>
        <w:t xml:space="preserve"/>
      </w:r>
    </w:p>
    <w:p>
      <w:pPr>
        <w:pStyle w:val="Heading2"/>
        <w:spacing w:after="120" w:before="320"/>
      </w:pPr>
      <w:r>
        <w:rPr>
          <w:rFonts w:ascii="Arial" w:cs="Arial" w:eastAsia="Arial" w:hAnsi="Arial"/>
          <w:b/>
          <w:bCs/>
          <w:color w:val="0A2540"/>
          <w:sz w:val="28"/>
          <w:szCs w:val="28"/>
        </w:rPr>
        <w:t xml:space="preserve">4.2 Segment cible du MVP</w:t>
      </w:r>
    </w:p>
    <w:p>
      <w:pPr>
        <w:spacing w:after="80" w:before="60" w:line="276"/>
      </w:pPr>
      <w:r>
        <w:rPr>
          <w:rFonts w:ascii="Arial" w:cs="Arial" w:eastAsia="Arial" w:hAnsi="Arial"/>
          <w:b w:val="false"/>
          <w:bCs w:val="false"/>
          <w:i w:val="false"/>
          <w:iCs w:val="false"/>
          <w:color w:val="111827"/>
          <w:sz w:val="22"/>
          <w:szCs w:val="22"/>
        </w:rPr>
        <w:t xml:space="preserve">Le marché primaire d'AeroOS est le lessor indépendant de taille moyenne : entre 5 et 50 avions en portefeuille, équipe de 3 à 15 personnes, basé à Dublin, Londres, Singapour ou Miami. Ce segment est aujourd'hui sous-servi pour une raison structurelle : les grandes plateformes (Cirium, Sysco) ciblent les top 50 lessors avec des offres à 6 chiffres par an. Le mid-market n'a pas d'alternative viable à Excel.</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Estimation : 150 lessors mid-market dans le monde. À un ARPU moyen de €36 000 par an, le marché adressable est de €5,4 M pour la seule base MVP. Le segment secondaire (banques, fonds, compagnies) multiplie cette estimation par 5 à 10.</w:t>
      </w:r>
    </w:p>
    <w:p>
      <w:pPr>
        <w:spacing w:after="100" w:before="0"/>
      </w:pPr>
      <w:r>
        <w:t xml:space="preserve"/>
      </w:r>
    </w:p>
    <w:p>
      <w:pPr>
        <w:pStyle w:val="Heading2"/>
        <w:spacing w:after="120" w:before="320"/>
      </w:pPr>
      <w:r>
        <w:rPr>
          <w:rFonts w:ascii="Arial" w:cs="Arial" w:eastAsia="Arial" w:hAnsi="Arial"/>
          <w:b/>
          <w:bCs/>
          <w:color w:val="0A2540"/>
          <w:sz w:val="28"/>
          <w:szCs w:val="28"/>
        </w:rPr>
        <w:t xml:space="preserve">4.3 Paysage concurrentiel</w:t>
      </w:r>
    </w:p>
    <w:p>
      <w:pPr>
        <w:spacing w:after="80" w:before="60" w:line="276"/>
      </w:pPr>
      <w:r>
        <w:rPr>
          <w:rFonts w:ascii="Arial" w:cs="Arial" w:eastAsia="Arial" w:hAnsi="Arial"/>
          <w:b w:val="false"/>
          <w:bCs w:val="false"/>
          <w:i w:val="false"/>
          <w:iCs w:val="false"/>
          <w:color w:val="111827"/>
          <w:sz w:val="22"/>
          <w:szCs w:val="22"/>
        </w:rPr>
        <w:t xml:space="preserve">Le marché est structuré autour de quatre catégories d'acteurs, chacune excellente dans son domaine mais aucune couvrant l'ensemble de la chaîne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80"/>
        <w:gridCol w:w="2880"/>
      </w:tblGrid>
      <w:tr>
        <w:tc>
          <w:tcPr>
            <w:tcW w:type="dxa" w:w="16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r>
              <w:rPr>
                <w:rFonts w:ascii="Arial" w:cs="Arial" w:eastAsia="Arial" w:hAnsi="Arial"/>
                <w:b/>
                <w:bCs/>
                <w:color w:val="FFFFFF"/>
                <w:sz w:val="19"/>
                <w:szCs w:val="19"/>
              </w:rPr>
              <w:t xml:space="preserve">Acteur</w:t>
            </w:r>
          </w:p>
        </w:tc>
        <w:tc>
          <w:tcPr>
            <w:tcW w:type="dxa" w:w="16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r>
              <w:rPr>
                <w:rFonts w:ascii="Arial" w:cs="Arial" w:eastAsia="Arial" w:hAnsi="Arial"/>
                <w:b/>
                <w:bCs/>
                <w:color w:val="FFFFFF"/>
                <w:sz w:val="19"/>
                <w:szCs w:val="19"/>
              </w:rPr>
              <w:t xml:space="preserve">Domaine</w:t>
            </w:r>
          </w:p>
        </w:tc>
        <w:tc>
          <w:tcPr>
            <w:tcW w:type="dxa" w:w="328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r>
              <w:rPr>
                <w:rFonts w:ascii="Arial" w:cs="Arial" w:eastAsia="Arial" w:hAnsi="Arial"/>
                <w:b/>
                <w:bCs/>
                <w:color w:val="FFFFFF"/>
                <w:sz w:val="19"/>
                <w:szCs w:val="19"/>
              </w:rPr>
              <w:t xml:space="preserve">Forces</w:t>
            </w:r>
          </w:p>
        </w:tc>
        <w:tc>
          <w:tcPr>
            <w:tcW w:type="dxa" w:w="288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r>
              <w:rPr>
                <w:rFonts w:ascii="Arial" w:cs="Arial" w:eastAsia="Arial" w:hAnsi="Arial"/>
                <w:b/>
                <w:bCs/>
                <w:color w:val="FFFFFF"/>
                <w:sz w:val="19"/>
                <w:szCs w:val="19"/>
              </w:rPr>
              <w:t xml:space="preserve">Limites</w:t>
            </w:r>
          </w:p>
        </w:tc>
      </w:tr>
      <w:tr>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Cirium / Ascend</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Données &amp; valorisation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Données de flotte, historique, appraisals</w:t>
            </w:r>
          </w:p>
        </w:tc>
        <w:tc>
          <w:tcPr>
            <w:tcW w:type="dxa" w:w="28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Données uniquement, pas opérationnel, prix élevé</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IBA Insight</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Valorisation &amp; risque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Valorisation, scoring airline, conseil</w:t>
            </w:r>
          </w:p>
        </w:tc>
        <w:tc>
          <w:tcPr>
            <w:tcW w:type="dxa" w:w="28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Pas de gestion de contrats ni de portfolio</w:t>
            </w:r>
          </w:p>
        </w:tc>
      </w:tr>
      <w:tr>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Sysco / LeaseWorks</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Gestion de leasing</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Contrats, paiements, comptabilité IFRS 16</w:t>
            </w:r>
          </w:p>
        </w:tc>
        <w:tc>
          <w:tcPr>
            <w:tcW w:type="dxa" w:w="28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Pas de données actif, pas de marketplace, pas d'IA</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flydocs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Documents &amp; MR tracking</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Gestion documentaire, suivi des reserves</w:t>
            </w:r>
          </w:p>
        </w:tc>
        <w:tc>
          <w:tcPr>
            <w:tcW w:type="dxa" w:w="28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b w:val="false"/>
                <w:bCs w:val="false"/>
                <w:color w:val="111827"/>
                <w:sz w:val="18"/>
                <w:szCs w:val="18"/>
              </w:rPr>
              <w:t xml:space="preserve">Périmètre réduit, pas de vision portfolio</w:t>
            </w:r>
          </w:p>
        </w:tc>
      </w:tr>
      <w:tr>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AMOS / Ramco</w:t>
            </w:r>
          </w:p>
        </w:tc>
        <w:tc>
          <w:tcPr>
            <w:tcW w:type="dxa" w:w="16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MRO ERP</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Gestion maintenance complète pour compagnies</w:t>
            </w:r>
          </w:p>
        </w:tc>
        <w:tc>
          <w:tcPr>
            <w:tcW w:type="dxa" w:w="28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b w:val="false"/>
                <w:bCs w:val="false"/>
                <w:color w:val="111827"/>
                <w:sz w:val="18"/>
                <w:szCs w:val="18"/>
              </w:rPr>
              <w:t xml:space="preserve">Orienté compagnies, pas lessors, silo fermé</w:t>
            </w:r>
          </w:p>
        </w:tc>
      </w:tr>
      <w:tr>
        <w:tc>
          <w:tcPr>
            <w:tcW w:type="dxa" w:w="16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tcPr>
          <w:p>
            <w:r>
              <w:rPr>
                <w:rFonts w:ascii="Arial" w:cs="Arial" w:eastAsia="Arial" w:hAnsi="Arial"/>
                <w:b/>
                <w:bCs/>
                <w:color w:val="1A56DB"/>
                <w:sz w:val="18"/>
                <w:szCs w:val="18"/>
              </w:rPr>
              <w:t xml:space="preserve">AeroOS</w:t>
            </w:r>
          </w:p>
        </w:tc>
        <w:tc>
          <w:tcPr>
            <w:tcW w:type="dxa" w:w="160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tcPr>
          <w:p>
            <w:r>
              <w:rPr>
                <w:rFonts w:ascii="Arial" w:cs="Arial" w:eastAsia="Arial" w:hAnsi="Arial"/>
                <w:b/>
                <w:bCs/>
                <w:color w:val="1A56DB"/>
                <w:sz w:val="18"/>
                <w:szCs w:val="18"/>
              </w:rPr>
              <w:t xml:space="preserve">Plateforme intégrée</w:t>
            </w:r>
          </w:p>
        </w:tc>
        <w:tc>
          <w:tcPr>
            <w:tcW w:type="dxa" w:w="328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tcPr>
          <w:p>
            <w:r>
              <w:rPr>
                <w:rFonts w:ascii="Arial" w:cs="Arial" w:eastAsia="Arial" w:hAnsi="Arial"/>
                <w:b/>
                <w:bCs/>
                <w:color w:val="1A56DB"/>
                <w:sz w:val="18"/>
                <w:szCs w:val="18"/>
              </w:rPr>
              <w:t xml:space="preserve">Asset + Leasing + Documents + Valuation + IA</w:t>
            </w:r>
          </w:p>
        </w:tc>
        <w:tc>
          <w:tcPr>
            <w:tcW w:type="dxa" w:w="2880"/>
            <w:tcBorders>
              <w:top w:val="single" w:color="D1D5DB" w:sz="1"/>
              <w:left w:val="single" w:color="D1D5DB" w:sz="1"/>
              <w:bottom w:val="single" w:color="D1D5DB" w:sz="1"/>
              <w:right w:val="single" w:color="D1D5DB" w:sz="1"/>
            </w:tcBorders>
            <w:shd w:fill="EFF6FF" w:val="clear"/>
            <w:tcMar>
              <w:top w:type="dxa" w:w="70"/>
              <w:left w:type="dxa" w:w="100"/>
              <w:bottom w:type="dxa" w:w="70"/>
              <w:right w:type="dxa" w:w="100"/>
            </w:tcMar>
          </w:tcPr>
          <w:p>
            <w:r>
              <w:rPr>
                <w:rFonts w:ascii="Arial" w:cs="Arial" w:eastAsia="Arial" w:hAnsi="Arial"/>
                <w:b/>
                <w:bCs/>
                <w:color w:val="1A56DB"/>
                <w:sz w:val="18"/>
                <w:szCs w:val="18"/>
              </w:rPr>
              <w:t xml:space="preserve">En construction — le blanc de la carte</w:t>
            </w:r>
          </w:p>
        </w:tc>
      </w:tr>
    </w:tbl>
    <w:p>
      <w:pPr>
        <w:spacing w:after="100" w:before="0"/>
      </w:pPr>
      <w:r>
        <w:t xml:space="preserve"/>
      </w:r>
    </w:p>
    <w:p>
      <w:pPr>
        <w:spacing w:after="80" w:before="60" w:line="276"/>
      </w:pPr>
      <w:r>
        <w:rPr>
          <w:rFonts w:ascii="Arial" w:cs="Arial" w:eastAsia="Arial" w:hAnsi="Arial"/>
          <w:b/>
          <w:bCs/>
          <w:i w:val="false"/>
          <w:iCs w:val="false"/>
          <w:color w:val="0A2540"/>
          <w:sz w:val="22"/>
          <w:szCs w:val="22"/>
        </w:rPr>
        <w:t xml:space="preserve">Le positionnement d'AeroOS est clair : ni concurrent de Cirium sur les données brutes, ni concurrent de Sysco sur la comptabilité. AeroOS est le système qui remplace Excel au centre — la couche d'intégration que personne n'a construite.</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5. Architecture technique</w:t>
      </w:r>
    </w:p>
    <w:p>
      <w:pPr>
        <w:pStyle w:val="Heading2"/>
        <w:spacing w:after="120" w:before="320"/>
      </w:pPr>
      <w:r>
        <w:rPr>
          <w:rFonts w:ascii="Arial" w:cs="Arial" w:eastAsia="Arial" w:hAnsi="Arial"/>
          <w:b/>
          <w:bCs/>
          <w:color w:val="0A2540"/>
          <w:sz w:val="28"/>
          <w:szCs w:val="28"/>
        </w:rPr>
        <w:t xml:space="preserve">5.1 Principes fondateurs</w:t>
      </w:r>
    </w:p>
    <w:p>
      <w:pPr>
        <w:pStyle w:val="ListParagraph"/>
        <w:numPr>
          <w:ilvl w:val="0"/>
          <w:numId w:val="2"/>
        </w:numPr>
        <w:spacing w:after="40" w:before="40"/>
      </w:pPr>
      <w:r>
        <w:rPr>
          <w:rFonts w:ascii="Arial" w:cs="Arial" w:eastAsia="Arial" w:hAnsi="Arial"/>
          <w:b w:val="false"/>
          <w:bCs w:val="false"/>
          <w:color w:val="111827"/>
          <w:sz w:val="22"/>
          <w:szCs w:val="22"/>
        </w:rPr>
        <w:t xml:space="preserve">Cloud-native dès le départ : Kubernetes, Docker, Helm, déploiement multi-région.</w:t>
      </w:r>
    </w:p>
    <w:p>
      <w:pPr>
        <w:pStyle w:val="ListParagraph"/>
        <w:numPr>
          <w:ilvl w:val="0"/>
          <w:numId w:val="2"/>
        </w:numPr>
        <w:spacing w:after="40" w:before="40"/>
      </w:pPr>
      <w:r>
        <w:rPr>
          <w:rFonts w:ascii="Arial" w:cs="Arial" w:eastAsia="Arial" w:hAnsi="Arial"/>
          <w:b w:val="false"/>
          <w:bCs w:val="false"/>
          <w:color w:val="111827"/>
          <w:sz w:val="22"/>
          <w:szCs w:val="22"/>
        </w:rPr>
        <w:t xml:space="preserve">Architecture multi-tenant avec isolation stricte au niveau base de données (Row Level Security PostgreSQL).</w:t>
      </w:r>
    </w:p>
    <w:p>
      <w:pPr>
        <w:pStyle w:val="ListParagraph"/>
        <w:numPr>
          <w:ilvl w:val="0"/>
          <w:numId w:val="2"/>
        </w:numPr>
        <w:spacing w:after="40" w:before="40"/>
      </w:pPr>
      <w:r>
        <w:rPr>
          <w:rFonts w:ascii="Arial" w:cs="Arial" w:eastAsia="Arial" w:hAnsi="Arial"/>
          <w:b w:val="false"/>
          <w:bCs w:val="false"/>
          <w:color w:val="111827"/>
          <w:sz w:val="22"/>
          <w:szCs w:val="22"/>
        </w:rPr>
        <w:t xml:space="preserve">Architecture événementielle : Kafka comme bus de communication asynchrone entre services.</w:t>
      </w:r>
    </w:p>
    <w:p>
      <w:pPr>
        <w:pStyle w:val="ListParagraph"/>
        <w:numPr>
          <w:ilvl w:val="0"/>
          <w:numId w:val="2"/>
        </w:numPr>
        <w:spacing w:after="40" w:before="40"/>
      </w:pPr>
      <w:r>
        <w:rPr>
          <w:rFonts w:ascii="Arial" w:cs="Arial" w:eastAsia="Arial" w:hAnsi="Arial"/>
          <w:b w:val="false"/>
          <w:bCs w:val="false"/>
          <w:color w:val="111827"/>
          <w:sz w:val="22"/>
          <w:szCs w:val="22"/>
        </w:rPr>
        <w:t xml:space="preserve">Séparation claire entre les services métier (asset, lease, document, valuation) et les services transverses (auth, notification, AI, audit).</w:t>
      </w:r>
    </w:p>
    <w:p>
      <w:pPr>
        <w:pStyle w:val="ListParagraph"/>
        <w:numPr>
          <w:ilvl w:val="0"/>
          <w:numId w:val="2"/>
        </w:numPr>
        <w:spacing w:after="40" w:before="40"/>
      </w:pPr>
      <w:r>
        <w:rPr>
          <w:rFonts w:ascii="Arial" w:cs="Arial" w:eastAsia="Arial" w:hAnsi="Arial"/>
          <w:b w:val="false"/>
          <w:bCs w:val="false"/>
          <w:color w:val="111827"/>
          <w:sz w:val="22"/>
          <w:szCs w:val="22"/>
        </w:rPr>
        <w:t xml:space="preserve">Sécurité by design : chiffrement AES-256 au repos, TLS 1.3 en transit, MFA obligatoire, audit log immuable.</w:t>
      </w:r>
    </w:p>
    <w:p>
      <w:pPr>
        <w:spacing w:after="100" w:before="0"/>
      </w:pPr>
      <w:r>
        <w:t xml:space="preserve"/>
      </w:r>
    </w:p>
    <w:p>
      <w:pPr>
        <w:pStyle w:val="Heading2"/>
        <w:spacing w:after="120" w:before="320"/>
      </w:pPr>
      <w:r>
        <w:rPr>
          <w:rFonts w:ascii="Arial" w:cs="Arial" w:eastAsia="Arial" w:hAnsi="Arial"/>
          <w:b/>
          <w:bCs/>
          <w:color w:val="0A2540"/>
          <w:sz w:val="28"/>
          <w:szCs w:val="28"/>
        </w:rPr>
        <w:t xml:space="preserve">5.2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Frontend</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React · Next.js · TypeScript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Backend métier</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 ou Java (services core) · Python (services IA)</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Base principale</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PostgreSQL avec Row Level Security multi-tenant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Analytics</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ClickHouse pour les agrégations portfolio et KPIs temps réel</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Stockage objet</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S3-compatible pour documents, PDFs, photos d'inspection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Cache</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pour sessions et réponses API fréquentes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Event bus</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Apache Kafka — 6 topics au MVP</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Infrastructure</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Kubernetes (GKE / EKS) · Docker · GitHub Actions CI/CD</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Observabilité</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OpenTelemetry · Prometheus · Grafana · OpenSearch</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IA / ML</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LLM via API (parsing contrats, résumés) · pipeline Python dédié</w:t>
            </w:r>
          </w:p>
        </w:tc>
      </w:tr>
    </w:tbl>
    <w:p>
      <w:pPr>
        <w:spacing w:after="100" w:before="0"/>
      </w:pPr>
      <w:r>
        <w:t xml:space="preserve"/>
      </w:r>
    </w:p>
    <w:p>
      <w:pPr>
        <w:pStyle w:val="Heading2"/>
        <w:spacing w:after="120" w:before="320"/>
      </w:pPr>
      <w:r>
        <w:rPr>
          <w:rFonts w:ascii="Arial" w:cs="Arial" w:eastAsia="Arial" w:hAnsi="Arial"/>
          <w:b/>
          <w:bCs/>
          <w:color w:val="0A2540"/>
          <w:sz w:val="28"/>
          <w:szCs w:val="28"/>
        </w:rPr>
        <w:t xml:space="preserve">5.3 Modèle de données — entités principales</w:t>
      </w:r>
    </w:p>
    <w:p>
      <w:pPr>
        <w:spacing w:after="80" w:before="60" w:line="276"/>
      </w:pPr>
      <w:r>
        <w:rPr>
          <w:rFonts w:ascii="Arial" w:cs="Arial" w:eastAsia="Arial" w:hAnsi="Arial"/>
          <w:b w:val="false"/>
          <w:bCs w:val="false"/>
          <w:i w:val="false"/>
          <w:iCs w:val="false"/>
          <w:color w:val="111827"/>
          <w:sz w:val="22"/>
          <w:szCs w:val="22"/>
        </w:rPr>
        <w:t xml:space="preserve">Le schéma de données est structuré autour de 11 entités principales : Aircraft, Engine, Component, LeaseContract, Operator, ValuationRecord, Document, MaintenanceTask, AssetEvent, Portfolio, Alert. Chaque table porte un tenant_id, des timestamps de création / modification, et un champ deleted_at pour le soft delete. Aucune suppression physique de données n'est possible.</w:t>
      </w:r>
    </w:p>
    <w:p>
      <w:pPr>
        <w:spacing w:after="100" w:before="0"/>
      </w:pPr>
      <w:r>
        <w:t xml:space="preserve"/>
      </w:r>
    </w:p>
    <w:p>
      <w:pPr>
        <w:pStyle w:val="Heading2"/>
        <w:spacing w:after="120" w:before="320"/>
      </w:pPr>
      <w:r>
        <w:rPr>
          <w:rFonts w:ascii="Arial" w:cs="Arial" w:eastAsia="Arial" w:hAnsi="Arial"/>
          <w:b/>
          <w:bCs/>
          <w:color w:val="0A2540"/>
          <w:sz w:val="28"/>
          <w:szCs w:val="28"/>
        </w:rPr>
        <w:t xml:space="preserve">5.4 SLA et résilience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Disponibilité cible</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99,9 % (&lt; 9h d'indisponibilité par an)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RPO (Recovery Point Obj.)</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 heure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RTO (Recovery Time Obj.)</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&lt; 4 heures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Sauvegardes</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Automatisées · chiffrées · multi-région</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Penetration testing</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Semestriel · rapport fourni sur demande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Roadmap conformité</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 2 Type II · ISO 27001 (phase 2)</w:t>
            </w:r>
          </w:p>
        </w:tc>
      </w:tr>
    </w:tbl>
    <w:p>
      <w:r>
        <w:br/>
      </w:r>
    </w:p>
    <w:p>
      <w:pPr>
        <w:pStyle w:val="Heading1"/>
        <w:pBdr>
          <w:bottom w:val="single" w:color="1A56DB" w:sz="8" w:space="6"/>
        </w:pBdr>
        <w:spacing w:after="200" w:before="400"/>
      </w:pPr>
      <w:r>
        <w:rPr>
          <w:rFonts w:ascii="Arial" w:cs="Arial" w:eastAsia="Arial" w:hAnsi="Arial"/>
          <w:b/>
          <w:bCs/>
          <w:color w:val="0A2540"/>
          <w:sz w:val="36"/>
          <w:szCs w:val="36"/>
        </w:rPr>
        <w:t xml:space="preserve">6. Modèle économique</w:t>
      </w:r>
    </w:p>
    <w:p>
      <w:pPr>
        <w:pStyle w:val="Heading2"/>
        <w:spacing w:after="120" w:before="320"/>
      </w:pPr>
      <w:r>
        <w:rPr>
          <w:rFonts w:ascii="Arial" w:cs="Arial" w:eastAsia="Arial" w:hAnsi="Arial"/>
          <w:b/>
          <w:bCs/>
          <w:color w:val="0A2540"/>
          <w:sz w:val="28"/>
          <w:szCs w:val="28"/>
        </w:rPr>
        <w:t xml:space="preserve">6.1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Abonnement SaaS</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Mensuel ou annuel. Facturation par utilisateur ou par actif géré. Cœur du revenu récurrent.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Modules premium IA</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Surcharge sur les fonctionnalités IA avancées (analyse de portefeuille, simulation de scénarios).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Transactions marketplace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Commission sur les transactions de la place de marché (phase 3). Modèle proportionnel à la valeur.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Licences API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Accès aux données et flux pour intégration dans les systèmes des clients.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Conseil &amp; onboarding</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Prestation de migration de données, formation, intégration ERP. Revenus ponctuels.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Asset management (P5+)</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Gestion d'actifs pour compte de tiers. Fees de gestion sur AUM.</w:t>
            </w:r>
          </w:p>
        </w:tc>
      </w:tr>
    </w:tbl>
    <w:p>
      <w:pPr>
        <w:spacing w:after="100" w:before="0"/>
      </w:pPr>
      <w:r>
        <w:t xml:space="preserve"/>
      </w:r>
    </w:p>
    <w:p>
      <w:pPr>
        <w:pStyle w:val="Heading2"/>
        <w:spacing w:after="120" w:before="320"/>
      </w:pPr>
      <w:r>
        <w:rPr>
          <w:rFonts w:ascii="Arial" w:cs="Arial" w:eastAsia="Arial" w:hAnsi="Arial"/>
          <w:b/>
          <w:bCs/>
          <w:color w:val="0A2540"/>
          <w:sz w:val="28"/>
          <w:szCs w:val="28"/>
        </w:rPr>
        <w:t xml:space="preserve">6.2 Structure de pricing indicative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Starter</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Jusqu'à 10 actifs · 3 utilisateurs · modules de base · €1 500 / mois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Professional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Jusqu'à 50 actifs · 10 utilisateurs · tous les modules MVP · €4 500 / mois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Enterprise</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Actifs illimités · utilisateurs illimités · API · SLA renforcé · sur devis</w:t>
            </w:r>
          </w:p>
        </w:tc>
      </w:tr>
    </w:tbl>
    <w:p>
      <w:pPr>
        <w:spacing w:after="100" w:before="0"/>
      </w:pPr>
      <w:r>
        <w:t xml:space="preserve"/>
      </w:r>
    </w:p>
    <w:p>
      <w:pPr>
        <w:pStyle w:val="Heading2"/>
        <w:spacing w:after="120" w:before="320"/>
      </w:pPr>
      <w:r>
        <w:rPr>
          <w:rFonts w:ascii="Arial" w:cs="Arial" w:eastAsia="Arial" w:hAnsi="Arial"/>
          <w:b/>
          <w:bCs/>
          <w:color w:val="0A2540"/>
          <w:sz w:val="28"/>
          <w:szCs w:val="28"/>
        </w:rPr>
        <w:t xml:space="preserve">6.3 Projections indicatives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€240K</w:t>
            </w:r>
          </w:p>
          <w:p>
            <w:pPr>
              <w:spacing w:before="40"/>
              <w:jc w:val="center"/>
            </w:pPr>
            <w:r>
              <w:rPr>
                <w:rFonts w:ascii="Arial" w:cs="Arial" w:eastAsia="Arial" w:hAnsi="Arial"/>
                <w:color w:val="6B7280"/>
                <w:sz w:val="18"/>
                <w:szCs w:val="18"/>
              </w:rPr>
              <w:t xml:space="preserve">ARR cible 12 mois</w:t>
            </w:r>
          </w:p>
          <w:p>
            <w:pPr>
              <w:jc w:val="center"/>
            </w:pPr>
            <w:r>
              <w:rPr>
                <w:rFonts w:ascii="Arial" w:cs="Arial" w:eastAsia="Arial" w:hAnsi="Arial"/>
                <w:i/>
                <w:iCs/>
                <w:color w:val="0694A2"/>
                <w:sz w:val="16"/>
                <w:szCs w:val="16"/>
              </w:rPr>
              <w:t xml:space="preserve">10 clients Pro</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€1,5M</w:t>
            </w:r>
          </w:p>
          <w:p>
            <w:pPr>
              <w:spacing w:before="40"/>
              <w:jc w:val="center"/>
            </w:pPr>
            <w:r>
              <w:rPr>
                <w:rFonts w:ascii="Arial" w:cs="Arial" w:eastAsia="Arial" w:hAnsi="Arial"/>
                <w:color w:val="6B7280"/>
                <w:sz w:val="18"/>
                <w:szCs w:val="18"/>
              </w:rPr>
              <w:t xml:space="preserve">ARR cible 36 mois</w:t>
            </w:r>
          </w:p>
          <w:p>
            <w:pPr>
              <w:jc w:val="center"/>
            </w:pPr>
            <w:r>
              <w:rPr>
                <w:rFonts w:ascii="Arial" w:cs="Arial" w:eastAsia="Arial" w:hAnsi="Arial"/>
                <w:i/>
                <w:iCs/>
                <w:color w:val="0694A2"/>
                <w:sz w:val="16"/>
                <w:szCs w:val="16"/>
              </w:rPr>
              <w:t xml:space="preserve">50 clients mixtes</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€6M+</w:t>
            </w:r>
          </w:p>
          <w:p>
            <w:pPr>
              <w:spacing w:before="40"/>
              <w:jc w:val="center"/>
            </w:pPr>
            <w:r>
              <w:rPr>
                <w:rFonts w:ascii="Arial" w:cs="Arial" w:eastAsia="Arial" w:hAnsi="Arial"/>
                <w:color w:val="6B7280"/>
                <w:sz w:val="18"/>
                <w:szCs w:val="18"/>
              </w:rPr>
              <w:t xml:space="preserve">ARR cible 60 mois</w:t>
            </w:r>
          </w:p>
          <w:p>
            <w:pPr>
              <w:jc w:val="center"/>
            </w:pPr>
            <w:r>
              <w:rPr>
                <w:rFonts w:ascii="Arial" w:cs="Arial" w:eastAsia="Arial" w:hAnsi="Arial"/>
                <w:i/>
                <w:iCs/>
                <w:color w:val="0694A2"/>
                <w:sz w:val="16"/>
                <w:szCs w:val="16"/>
              </w:rPr>
              <w:t xml:space="preserve">Marketplace active</w:t>
            </w:r>
          </w:p>
        </w:tc>
        <w:tc>
          <w:tcPr>
            <w:tcW w:type="dxa" w:w="2340"/>
            <w:tcBorders>
              <w:top w:val="single" w:color="D1D5DB" w:sz="1"/>
              <w:left w:val="single" w:color="D1D5DB" w:sz="1"/>
              <w:bottom w:val="single" w:color="D1D5DB" w:sz="1"/>
              <w:right w:val="single" w:color="D1D5DB" w:sz="1"/>
            </w:tcBorders>
            <w:shd w:fill="EFF6FF" w:val="clear"/>
            <w:tcMar>
              <w:top w:type="dxa" w:w="140"/>
              <w:left w:type="dxa" w:w="160"/>
              <w:bottom w:type="dxa" w:w="140"/>
              <w:right w:type="dxa" w:w="160"/>
            </w:tcMar>
          </w:tcPr>
          <w:p>
            <w:pPr>
              <w:jc w:val="center"/>
            </w:pPr>
            <w:r>
              <w:rPr>
                <w:rFonts w:ascii="Arial" w:cs="Arial" w:eastAsia="Arial" w:hAnsi="Arial"/>
                <w:b/>
                <w:bCs/>
                <w:color w:val="0A2540"/>
                <w:sz w:val="36"/>
                <w:szCs w:val="36"/>
              </w:rPr>
              <w:t xml:space="preserve">&gt; 110 %</w:t>
            </w:r>
          </w:p>
          <w:p>
            <w:pPr>
              <w:spacing w:before="40"/>
              <w:jc w:val="center"/>
            </w:pPr>
            <w:r>
              <w:rPr>
                <w:rFonts w:ascii="Arial" w:cs="Arial" w:eastAsia="Arial" w:hAnsi="Arial"/>
                <w:color w:val="6B7280"/>
                <w:sz w:val="18"/>
                <w:szCs w:val="18"/>
              </w:rPr>
              <w:t xml:space="preserve">NRR cible (régime)</w:t>
            </w:r>
          </w:p>
          <w:p>
            <w:pPr>
              <w:jc w:val="center"/>
            </w:pPr>
            <w:r>
              <w:rPr>
                <w:rFonts w:ascii="Arial" w:cs="Arial" w:eastAsia="Arial" w:hAnsi="Arial"/>
                <w:i/>
                <w:iCs/>
                <w:color w:val="0694A2"/>
                <w:sz w:val="16"/>
                <w:szCs w:val="16"/>
              </w:rPr>
              <w:t xml:space="preserve">Expansion naturelle</w:t>
            </w:r>
          </w:p>
        </w:tc>
      </w:tr>
    </w:tbl>
    <w:p>
      <w:pPr>
        <w:spacing w:after="100" w:before="0"/>
      </w:pPr>
      <w:r>
        <w:t xml:space="preserve"/>
      </w:r>
    </w:p>
    <w:p>
      <w:pPr>
        <w:spacing w:after="80" w:before="60" w:line="276"/>
      </w:pPr>
      <w:r>
        <w:rPr>
          <w:rFonts w:ascii="Arial" w:cs="Arial" w:eastAsia="Arial" w:hAnsi="Arial"/>
          <w:b w:val="false"/>
          <w:bCs w:val="false"/>
          <w:i/>
          <w:iCs/>
          <w:color w:val="6B7280"/>
          <w:sz w:val="22"/>
          <w:szCs w:val="22"/>
        </w:rPr>
        <w:t xml:space="preserve">Ces projections sont indicatives et fondées sur des hypothèses conservatrices de pénétration du segment mid-market. Elles ne tiennent pas compte des revenus de marketplace, d'asset management ou des lignes de revenus des phases 5 à 7.</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7. Feuille de route — 10 ans</w:t>
      </w:r>
    </w:p>
    <w:p>
      <w:pPr>
        <w:spacing w:after="80" w:before="60" w:line="276"/>
      </w:pPr>
      <w:r>
        <w:rPr>
          <w:rFonts w:ascii="Arial" w:cs="Arial" w:eastAsia="Arial" w:hAnsi="Arial"/>
          <w:b w:val="false"/>
          <w:bCs w:val="false"/>
          <w:i w:val="false"/>
          <w:iCs w:val="false"/>
          <w:color w:val="111827"/>
          <w:sz w:val="22"/>
          <w:szCs w:val="22"/>
        </w:rPr>
        <w:t xml:space="preserve">La stratégie de croissance suit une logique de couches successives. Chaque phase crée les conditions de la phase suivante. La plateforme devient de plus en plus difficile à remplacer à mesure que les données s'accumulent et que l'effet réseau s'installe.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080"/>
        <w:gridCol w:w="2880"/>
      </w:tblGrid>
      <w:tr>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408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288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Résultat cible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19"/>
                <w:szCs w:val="19"/>
              </w:rPr>
              <w:t xml:space="preserve">Phase 1</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12–18 mois</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Plateforme de données &amp; registre des actifs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10 clients payants · 500+ actifs · ARR €240K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Phase 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18–36 mois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Leasing Management &amp; Portfolio Dashboard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50 clients · ARR €1,5M · NRR &gt; 110 %</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19"/>
                <w:szCs w:val="19"/>
              </w:rPr>
              <w:t xml:space="preserve">Phase 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36–54 mois</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Marketplace &amp; Valuation Engine ouverts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200 clients · effet réseau · ARR €6M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Phase 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48–72 mois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IA décisionnelle complète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Différenciation forte · expansion internationale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19"/>
                <w:szCs w:val="19"/>
              </w:rPr>
              <w:t xml:space="preserve">Phase 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60–84 mois</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Asset Management pour investisseurs tiers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AUM €500M+ · nouvelles lignes de revenus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56DB"/>
                <w:sz w:val="19"/>
                <w:szCs w:val="19"/>
              </w:rPr>
              <w:t xml:space="preserve">Phase 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72–96 mois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Véhicule d'investissement propre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Acquisition des premiers actifs aéronautiques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56DB"/>
                <w:sz w:val="19"/>
                <w:szCs w:val="19"/>
              </w:rPr>
              <w:t xml:space="preserve">Phase 7</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84–120 mois</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Société de leasing intégrée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Flotte propre · position d'infrastructure de marché</w:t>
            </w:r>
          </w:p>
        </w:tc>
      </w:tr>
    </w:tbl>
    <w:p>
      <w:pPr>
        <w:spacing w:after="200" w:before="0"/>
      </w:pPr>
      <w:r>
        <w:t xml:space="preserve"/>
      </w:r>
    </w:p>
    <w:p>
      <w:pPr>
        <w:spacing w:after="80" w:before="60" w:line="276"/>
      </w:pPr>
      <w:r>
        <w:rPr>
          <w:rFonts w:ascii="Arial" w:cs="Arial" w:eastAsia="Arial" w:hAnsi="Arial"/>
          <w:b/>
          <w:bCs/>
          <w:i w:val="false"/>
          <w:iCs w:val="false"/>
          <w:color w:val="0A2540"/>
          <w:sz w:val="22"/>
          <w:szCs w:val="22"/>
        </w:rPr>
        <w:t xml:space="preserve">Principe directeur : AeroOS ne cherche pas à posséder des actifs avant d'être indispensable à ceux qui les possèdent. Le leasing est la destination, pas le point de départ.</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8. Équipe &amp; organisation</w:t>
      </w:r>
    </w:p>
    <w:p>
      <w:pPr>
        <w:spacing w:after="80" w:before="60" w:line="276"/>
      </w:pPr>
      <w:r>
        <w:rPr>
          <w:rFonts w:ascii="Arial" w:cs="Arial" w:eastAsia="Arial" w:hAnsi="Arial"/>
          <w:b w:val="false"/>
          <w:bCs w:val="false"/>
          <w:i w:val="false"/>
          <w:iCs w:val="false"/>
          <w:color w:val="111827"/>
          <w:sz w:val="22"/>
          <w:szCs w:val="22"/>
        </w:rPr>
        <w:t xml:space="preserve">AeroOS est un projet en phase de constitution. Le profil d'équipe cible pour la phase 1 est le suivant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CEO / Fondateur</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Profil hybride : connaissance du leasing aéronautique et vision produit. Réseau dans l'industrie.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CTO</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Architecture cloud-native, microservices, sécurité enterprise. Expérience fintech ou aéro.</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Head of Product</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Définition des parcours utilisateur, roadmap, onboarding clients.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2–3 Ingénieurs backend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 core : asset, lease, document, valuation. .NET ou Java.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1 Ingénieur IA/Python</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Pipeline de parsing et résumé. Fine-tuning et guardrails.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1 Ingénieur frontend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 Next.js. Design system. Expérience utilisateur.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Business Development</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Acquisition des 10 premiers clients. Partenariats données et intégrations.</w:t>
            </w:r>
          </w:p>
        </w:tc>
      </w:tr>
    </w:tbl>
    <w:p>
      <w:pPr>
        <w:spacing w:after="100" w:before="0"/>
      </w:pPr>
      <w:r>
        <w:t xml:space="preserve"/>
      </w:r>
    </w:p>
    <w:p>
      <w:pPr>
        <w:spacing w:after="80" w:before="60" w:line="276"/>
      </w:pPr>
      <w:r>
        <w:rPr>
          <w:rFonts w:ascii="Arial" w:cs="Arial" w:eastAsia="Arial" w:hAnsi="Arial"/>
          <w:b w:val="false"/>
          <w:bCs w:val="false"/>
          <w:i/>
          <w:iCs/>
          <w:color w:val="6B7280"/>
          <w:sz w:val="22"/>
          <w:szCs w:val="22"/>
        </w:rPr>
        <w:t xml:space="preserve">L'accès au réseau de l'industrie est un facteur critique. Les 10 premiers clients seront acquis par des relations directes, pas par du marketing entrant. L'équipe fondatrice doit pouvoir décrocher un appel avec un directeur de leasing à Dublin ou Singapour.</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9. Utilisation des fonds — Phase 1</w:t>
      </w:r>
    </w:p>
    <w:p>
      <w:pPr>
        <w:spacing w:after="80" w:before="60" w:line="276"/>
      </w:pPr>
      <w:r>
        <w:rPr>
          <w:rFonts w:ascii="Arial" w:cs="Arial" w:eastAsia="Arial" w:hAnsi="Arial"/>
          <w:b w:val="false"/>
          <w:bCs w:val="false"/>
          <w:i w:val="false"/>
          <w:iCs w:val="false"/>
          <w:color w:val="111827"/>
          <w:sz w:val="22"/>
          <w:szCs w:val="22"/>
        </w:rPr>
        <w:t xml:space="preserve">La levée de fonds de la phase 1 finance 18 mois de développement et d'acquisition clients, jusqu'à une première démonstration de product-market fit mesurable.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Équipe technique (6 ingénieurs × 18 mois)</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~55 % du budget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Infrastructure cloud &amp; licences</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Données initiales &amp; partenariats</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~8 %</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Business development &amp; commercial</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Légal, conformité, sécurité</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~7 %</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Réserve opérationnelle</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w:t>
            </w:r>
          </w:p>
        </w:tc>
      </w:tr>
    </w:tbl>
    <w:p>
      <w:pPr>
        <w:spacing w:after="100" w:before="0"/>
      </w:pPr>
      <w:r>
        <w:t xml:space="preserve"/>
      </w:r>
    </w:p>
    <w:p>
      <w:pPr>
        <w:pStyle w:val="Heading2"/>
        <w:spacing w:after="120" w:before="320"/>
      </w:pPr>
      <w:r>
        <w:rPr>
          <w:rFonts w:ascii="Arial" w:cs="Arial" w:eastAsia="Arial" w:hAnsi="Arial"/>
          <w:b/>
          <w:bCs/>
          <w:color w:val="0A2540"/>
          <w:sz w:val="28"/>
          <w:szCs w:val="28"/>
        </w:rPr>
        <w:t xml:space="preserve">Critères de succès de la Phase 1</w:t>
      </w:r>
    </w:p>
    <w:p>
      <w:pPr>
        <w:pStyle w:val="ListParagraph"/>
        <w:numPr>
          <w:ilvl w:val="0"/>
          <w:numId w:val="2"/>
        </w:numPr>
        <w:spacing w:after="40" w:before="40"/>
      </w:pPr>
      <w:r>
        <w:rPr>
          <w:rFonts w:ascii="Arial" w:cs="Arial" w:eastAsia="Arial" w:hAnsi="Arial"/>
          <w:b w:val="false"/>
          <w:bCs w:val="false"/>
          <w:color w:val="111827"/>
          <w:sz w:val="22"/>
          <w:szCs w:val="22"/>
        </w:rPr>
        <w:t xml:space="preserve">10 clients payants actifs</w:t>
      </w:r>
    </w:p>
    <w:p>
      <w:pPr>
        <w:pStyle w:val="ListParagraph"/>
        <w:numPr>
          <w:ilvl w:val="0"/>
          <w:numId w:val="2"/>
        </w:numPr>
        <w:spacing w:after="40" w:before="40"/>
      </w:pPr>
      <w:r>
        <w:rPr>
          <w:rFonts w:ascii="Arial" w:cs="Arial" w:eastAsia="Arial" w:hAnsi="Arial"/>
          <w:b w:val="false"/>
          <w:bCs w:val="false"/>
          <w:color w:val="111827"/>
          <w:sz w:val="22"/>
          <w:szCs w:val="22"/>
        </w:rPr>
        <w:t xml:space="preserve">500+ actifs enregistrés sur la plateforme</w:t>
      </w:r>
    </w:p>
    <w:p>
      <w:pPr>
        <w:pStyle w:val="ListParagraph"/>
        <w:numPr>
          <w:ilvl w:val="0"/>
          <w:numId w:val="2"/>
        </w:numPr>
        <w:spacing w:after="40" w:before="40"/>
      </w:pPr>
      <w:r>
        <w:rPr>
          <w:rFonts w:ascii="Arial" w:cs="Arial" w:eastAsia="Arial" w:hAnsi="Arial"/>
          <w:b w:val="false"/>
          <w:bCs w:val="false"/>
          <w:color w:val="111827"/>
          <w:sz w:val="22"/>
          <w:szCs w:val="22"/>
        </w:rPr>
        <w:t xml:space="preserve">ARR ≥ €240 000</w:t>
      </w:r>
    </w:p>
    <w:p>
      <w:pPr>
        <w:pStyle w:val="ListParagraph"/>
        <w:numPr>
          <w:ilvl w:val="0"/>
          <w:numId w:val="2"/>
        </w:numPr>
        <w:spacing w:after="40" w:before="40"/>
      </w:pPr>
      <w:r>
        <w:rPr>
          <w:rFonts w:ascii="Arial" w:cs="Arial" w:eastAsia="Arial" w:hAnsi="Arial"/>
          <w:b w:val="false"/>
          <w:bCs w:val="false"/>
          <w:color w:val="111827"/>
          <w:sz w:val="22"/>
          <w:szCs w:val="22"/>
        </w:rPr>
        <w:t xml:space="preserve">Onboarding d'un portefeuille en moins de 30 minutes</w:t>
      </w:r>
    </w:p>
    <w:p>
      <w:pPr>
        <w:pStyle w:val="ListParagraph"/>
        <w:numPr>
          <w:ilvl w:val="0"/>
          <w:numId w:val="2"/>
        </w:numPr>
        <w:spacing w:after="40" w:before="40"/>
      </w:pPr>
      <w:r>
        <w:rPr>
          <w:rFonts w:ascii="Arial" w:cs="Arial" w:eastAsia="Arial" w:hAnsi="Arial"/>
          <w:b w:val="false"/>
          <w:bCs w:val="false"/>
          <w:color w:val="111827"/>
          <w:sz w:val="22"/>
          <w:szCs w:val="22"/>
        </w:rPr>
        <w:t xml:space="preserve">NPS ≥ 50 auprès des utilisateurs actifs</w:t>
      </w:r>
    </w:p>
    <w:p>
      <w:pPr>
        <w:pStyle w:val="ListParagraph"/>
        <w:numPr>
          <w:ilvl w:val="0"/>
          <w:numId w:val="2"/>
        </w:numPr>
        <w:spacing w:after="40" w:before="40"/>
      </w:pPr>
      <w:r>
        <w:rPr>
          <w:rFonts w:ascii="Arial" w:cs="Arial" w:eastAsia="Arial" w:hAnsi="Arial"/>
          <w:b w:val="false"/>
          <w:bCs w:val="false"/>
          <w:color w:val="111827"/>
          <w:sz w:val="22"/>
          <w:szCs w:val="22"/>
        </w:rPr>
        <w:t xml:space="preserve">Aucun incident de sécurité ou de perte de données</w:t>
      </w:r>
    </w:p>
    <w:p>
      <w:r>
        <w:br/>
      </w:r>
    </w:p>
    <w:p>
      <w:pPr>
        <w:pStyle w:val="Heading1"/>
        <w:pBdr>
          <w:bottom w:val="single" w:color="1A56DB" w:sz="8" w:space="6"/>
        </w:pBdr>
        <w:spacing w:after="200" w:before="400"/>
      </w:pPr>
      <w:r>
        <w:rPr>
          <w:rFonts w:ascii="Arial" w:cs="Arial" w:eastAsia="Arial" w:hAnsi="Arial"/>
          <w:b/>
          <w:bCs/>
          <w:color w:val="0A2540"/>
          <w:sz w:val="36"/>
          <w:szCs w:val="36"/>
        </w:rPr>
        <w:t xml:space="preserve">10.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Accès au marché</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Le secteur est relationnel. Mitigation : fondateurs avec réseau existant, partenariats avec cabinets de conseil aéronautique, premiers clients comme co-développeurs.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Qualité des données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Données initiales incomplètes ou hétérogènes. Mitigation : pipeline d'import flexible, validation humaine, partenariats données (Cirium API, ch-aviation).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Concurrence établie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Cirium ou flydocs pourraient élargir leur périmètre. Mitigation : vitesse d'exécution, intégration supérieure, IA comme barrière.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Sécurité &amp; conformité</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Données financières et contractuelles sensibles. Mitigation : security by design, penetration test dès le MVP, roadmap SOC 2.</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0A2540"/>
                <w:sz w:val="20"/>
                <w:szCs w:val="20"/>
              </w:rPr>
              <w:t xml:space="preserve">Adoption IA</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Réticence à confier des décisions à un algorithme. Mitigation : l'IA assiste, l'humain valide toujours. Confiance par la transparence.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Concentration clients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Dépendance à un petit nombre de clients en phase 1. Mitigation : diversification géographique et par segment dès le départ.</w:t>
            </w:r>
          </w:p>
        </w:tc>
      </w:tr>
    </w:tbl>
    <w:p>
      <w:r>
        <w:br/>
      </w:r>
    </w:p>
    <w:p>
      <w:pPr>
        <w:pStyle w:val="Heading1"/>
        <w:pBdr>
          <w:bottom w:val="single" w:color="1A56DB" w:sz="8" w:space="6"/>
        </w:pBdr>
        <w:spacing w:after="200" w:before="400"/>
      </w:pPr>
      <w:r>
        <w:rPr>
          <w:rFonts w:ascii="Arial" w:cs="Arial" w:eastAsia="Arial" w:hAnsi="Arial"/>
          <w:b/>
          <w:bCs/>
          <w:color w:val="0A2540"/>
          <w:sz w:val="36"/>
          <w:szCs w:val="36"/>
        </w:rPr>
        <w:t xml:space="preserve">11. Vision finale</w:t>
      </w:r>
    </w:p>
    <w:p>
      <w:pPr>
        <w:pBdr>
          <w:left w:val="single" w:color="1A56DB" w:sz="20" w:space="12"/>
        </w:pBdr>
        <w:shd w:fill="EFF6FF" w:val="clear"/>
        <w:spacing w:after="200" w:before="200"/>
        <w:ind w:left="400"/>
      </w:pPr>
      <w:r>
        <w:rPr>
          <w:rFonts w:ascii="Arial" w:cs="Arial" w:eastAsia="Arial" w:hAnsi="Arial"/>
          <w:b/>
          <w:bCs/>
          <w:i/>
          <w:iCs/>
          <w:color w:val="0A2540"/>
          <w:sz w:val="26"/>
          <w:szCs w:val="26"/>
        </w:rPr>
        <w:t xml:space="preserve">L'objectif n'est pas de construire un logiciel. C'est de construire l'infrastructure numérique mondiale de gestion des actifs aéronautiques.</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Une plateforme capable de suivre un actif depuis sa commande chez le constructeur jusqu'à son démantèlement — en passant par son financement, son exploitation, sa maintenance, ses changements de propriétaire, sa revente et son recyclage.</w:t>
      </w:r>
    </w:p>
    <w:p>
      <w:pPr>
        <w:spacing w:after="100" w:before="0"/>
      </w:pPr>
      <w:r>
        <w:t xml:space="preserve"/>
      </w:r>
    </w:p>
    <w:p>
      <w:pPr>
        <w:spacing w:after="80" w:before="60" w:line="276"/>
      </w:pPr>
      <w:r>
        <w:rPr>
          <w:rFonts w:ascii="Arial" w:cs="Arial" w:eastAsia="Arial" w:hAnsi="Arial"/>
          <w:b w:val="false"/>
          <w:bCs w:val="false"/>
          <w:i w:val="false"/>
          <w:iCs w:val="false"/>
          <w:color w:val="111827"/>
          <w:sz w:val="22"/>
          <w:szCs w:val="22"/>
        </w:rPr>
        <w:t xml:space="preserve">Lorsque cette position est atteinte, AeroOS n'est plus un logiciel qu'on peut désinstaller. C'est une infrastructure de marché — aussi difficile à remplacer que SWIFT pour les paiements, ou Bloomberg pour les données financières.</w:t>
      </w:r>
    </w:p>
    <w:p>
      <w:pPr>
        <w:spacing w:after="100" w:before="0"/>
      </w:pPr>
      <w:r>
        <w:t xml:space="preserve"/>
      </w:r>
    </w:p>
    <w:p>
      <w:pPr>
        <w:spacing w:after="80" w:before="60" w:line="276"/>
      </w:pPr>
      <w:r>
        <w:rPr>
          <w:rFonts w:ascii="Arial" w:cs="Arial" w:eastAsia="Arial" w:hAnsi="Arial"/>
          <w:b/>
          <w:bCs/>
          <w:i w:val="false"/>
          <w:iCs w:val="false"/>
          <w:color w:val="0A2540"/>
          <w:sz w:val="22"/>
          <w:szCs w:val="22"/>
        </w:rPr>
        <w:t xml:space="preserve">Les sociétés qui construisent des infrastructures de marché ne se valorisent pas comme des éditeurs de logiciels. Elles se valorisent comme des actifs systémiques.</w:t>
      </w:r>
    </w:p>
    <w:p>
      <w:pPr>
        <w:spacing w:after="300" w:before="0"/>
      </w:pPr>
      <w:r>
        <w:t xml:space="preserve"/>
      </w:r>
    </w:p>
    <w:p>
      <w:pPr>
        <w:pBdr>
          <w:top w:val="single" w:color="1A56DB" w:sz="4" w:space="8"/>
        </w:pBdr>
        <w:spacing w:before="400"/>
        <w:jc w:val="center"/>
      </w:pPr>
      <w:r>
        <w:rPr>
          <w:rFonts w:ascii="Arial" w:cs="Arial" w:eastAsia="Arial" w:hAnsi="Arial"/>
          <w:i/>
          <w:iCs/>
          <w:color w:val="6B7280"/>
          <w:sz w:val="16"/>
          <w:szCs w:val="16"/>
        </w:rPr>
        <w:t xml:space="preserve">Ce document est confidentiel. Toute reproduction ou diffusion est soumise à autorisation écrite.</w:t>
      </w:r>
    </w:p>
    <w:p>
      <w:pPr>
        <w:jc w:val="center"/>
      </w:pPr>
      <w:r>
        <w:rPr>
          <w:rFonts w:ascii="Arial" w:cs="Arial" w:eastAsia="Arial" w:hAnsi="Arial"/>
          <w:color w:val="6B7280"/>
          <w:sz w:val="16"/>
          <w:szCs w:val="16"/>
        </w:rPr>
        <w:t xml:space="preserve">AeroOS — Juin 2025 — contact@aeroos.io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026"/>
      </w:tabs>
    </w:pPr>
    <w:r>
      <w:rPr>
        <w:rFonts w:ascii="Arial" w:cs="Arial" w:eastAsia="Arial" w:hAnsi="Arial"/>
        <w:color w:val="6B7280"/>
        <w:sz w:val="16"/>
        <w:szCs w:val="16"/>
      </w:rPr>
      <w:t xml:space="preserve">Document investisseur — Juin 2025</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Arial" w:cs="Arial" w:eastAsia="Arial" w:hAnsi="Arial"/>
        <w:b/>
        <w:bCs/>
        <w:color w:val="0A2540"/>
        <w:sz w:val="18"/>
        <w:szCs w:val="18"/>
      </w:rPr>
      <w:t xml:space="preserve">AeroOS</w:t>
    </w:r>
    <w:r>
      <w:rPr>
        <w:rFonts w:ascii="Arial" w:cs="Arial" w:eastAsia="Arial" w:hAnsi="Arial"/>
        <w:color w:val="6B7280"/>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2026-06-26T09:43:57.291Z</dcterms:created>
  <dcterms:modified xsi:type="dcterms:W3CDTF">2026-06-26T09:43:57.292Z</dcterms:modified>
</cp:coreProperties>
</file>

<file path=docProps/custom.xml><?xml version="1.0" encoding="utf-8"?>
<Properties xmlns="http://schemas.openxmlformats.org/officeDocument/2006/custom-properties" xmlns:vt="http://schemas.openxmlformats.org/officeDocument/2006/docPropsVTypes"/>
</file>