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hint="eastAsia" w:ascii="黑体" w:eastAsia="黑体"/>
          <w:sz w:val="21"/>
          <w:szCs w:val="21"/>
        </w:rPr>
        <w:ind w:left="0" w:right="0" w:firstLine="0"/>
        <w:jc w:val="right"/>
      </w:pPr>
      <w:bookmarkStart w:id="0" w:name="_Toc235938903"/>
      <w:r>
        <w:rPr>
          <w:rFonts w:hint="eastAsia" w:ascii="黑体" w:eastAsia="黑体"/>
          <w:sz w:val="21"/>
          <w:szCs w:val="21"/>
          <w:lang w:val="en-US" w:eastAsia="zh-CN"/>
        </w:rPr>
        <w:t>密    级：待确认</w:t>
      </w:r>
    </w:p>
    <w:p>
      <w:pPr>
        <w:spacing w:line="240" w:lineRule="auto"/>
        <w:rPr>
          <w:rFonts w:hint="default" w:ascii="黑体" w:eastAsia="黑体"/>
          <w:sz w:val="21"/>
          <w:szCs w:val="21"/>
          <w:lang w:val="en-US" w:eastAsia="zh-CN"/>
        </w:rPr>
        <w:ind w:left="0" w:right="0" w:firstLine="0"/>
        <w:jc w:val="right"/>
      </w:pPr>
      <w:r>
        <w:rPr>
          <w:rFonts w:hint="eastAsia" w:ascii="黑体" w:eastAsia="黑体"/>
          <w:sz w:val="21"/>
          <w:szCs w:val="21"/>
        </w:rPr>
        <w:t>版    本：待确认</w:t>
      </w:r>
      <w:r>
        <w:rPr>
          <w:rFonts w:hint="eastAsia" w:ascii="黑体" w:eastAsia="黑体"/>
          <w:sz w:val="21"/>
          <w:szCs w:val="21"/>
          <w:lang w:val="en-US" w:eastAsia="zh-CN"/>
        </w:rPr>
        <w:t/>
      </w:r>
    </w:p>
    <w:p>
      <w:pPr>
        <w:spacing w:line="240" w:lineRule="auto"/>
        <w:rPr>
          <w:rFonts w:hint="default" w:ascii="黑体" w:eastAsia="黑体"/>
          <w:sz w:val="21"/>
          <w:szCs w:val="21"/>
          <w:lang w:val="en-US" w:eastAsia="zh-CN"/>
        </w:rPr>
        <w:ind w:left="0" w:right="0" w:firstLine="0"/>
        <w:jc w:val="right"/>
      </w:pPr>
      <w:r>
        <w:rPr>
          <w:rFonts w:hint="eastAsia" w:ascii="黑体" w:eastAsia="黑体"/>
          <w:sz w:val="21"/>
          <w:szCs w:val="21"/>
        </w:rPr>
        <w:t>阶段标注：待确认</w:t>
      </w:r>
      <w:r>
        <w:rPr>
          <w:rFonts w:hint="eastAsia" w:ascii="黑体" w:eastAsia="黑体"/>
          <w:sz w:val="21"/>
          <w:szCs w:val="21"/>
          <w:lang w:val="en-US" w:eastAsia="zh-CN"/>
        </w:rPr>
        <w:t/>
      </w:r>
    </w:p>
    <w:p>
      <w:pPr>
        <w:ind w:firstLine="560"/>
        <w:rPr>
          <w:rFonts w:ascii="黑体" w:eastAsia="黑体"/>
        </w:rPr>
      </w:pPr>
    </w:p>
    <w:p>
      <w:pPr>
        <w:ind w:firstLine="560"/>
        <w:rPr>
          <w:rFonts w:ascii="黑体" w:eastAsia="黑体"/>
        </w:rPr>
      </w:pPr>
    </w:p>
    <w:p>
      <w:pPr>
        <w:ind w:firstLine="560"/>
        <w:rPr>
          <w:rFonts w:ascii="黑体" w:eastAsia="黑体"/>
        </w:rPr>
      </w:pPr>
    </w:p>
    <w:p>
      <w:pPr>
        <w:spacing w:line="240" w:lineRule="auto"/>
        <w:jc w:val="center"/>
        <w:rPr>
          <w:rFonts w:hint="default" w:ascii="宋体" w:hAnsi="宋体" w:eastAsia="仿宋"/>
          <w:b/>
          <w:sz w:val="52"/>
          <w:szCs w:val="52"/>
          <w:lang w:val="en-US" w:eastAsia="zh-CN"/>
        </w:rPr>
      </w:pPr>
      <w:r>
        <w:rPr>
          <w:rFonts w:hint="default" w:ascii="宋体" w:hAnsi="宋体" w:eastAsia="仿宋"/>
          <w:b/>
          <w:sz w:val="52"/>
          <w:szCs w:val="52"/>
          <w:lang w:val="en-US" w:eastAsia="zh-CN"/>
        </w:rPr>
        <w:t>软件需求规格说明（SRS）</w:t>
      </w:r>
    </w:p>
    <w:p>
      <w:pPr>
        <w:ind w:firstLine="560"/>
        <w:jc w:val="center"/>
        <w:rPr>
          <w:rFonts w:ascii="黑体" w:hAnsi="宋体" w:eastAsia="黑体"/>
        </w:rPr>
      </w:pPr>
    </w:p>
    <w:p>
      <w:pPr>
        <w:ind w:firstLine="560"/>
        <w:jc w:val="center"/>
        <w:rPr>
          <w:rFonts w:ascii="黑体" w:hAnsi="宋体" w:eastAsia="黑体"/>
        </w:rPr>
      </w:pPr>
    </w:p>
    <w:p>
      <w:pPr>
        <w:ind w:firstLine="560"/>
        <w:jc w:val="center"/>
        <w:rPr>
          <w:rFonts w:ascii="黑体" w:hAnsi="宋体" w:eastAsia="黑体"/>
        </w:rPr>
      </w:pPr>
      <w:bookmarkStart w:id="35" w:name="_GoBack"/>
    </w:p>
    <w:bookmarkEnd w:id="35"/>
    <w:p>
      <w:pPr>
        <w:ind w:firstLine="560"/>
        <w:jc w:val="center"/>
        <w:rPr>
          <w:rFonts w:ascii="黑体" w:hAnsi="宋体" w:eastAsia="黑体"/>
        </w:rPr>
      </w:pPr>
    </w:p>
    <w:p>
      <w:pPr>
        <w:ind w:firstLine="560"/>
        <w:jc w:val="center"/>
        <w:rPr>
          <w:rFonts w:ascii="黑体" w:hAnsi="宋体" w:eastAsia="黑体"/>
        </w:rPr>
      </w:pPr>
    </w:p>
    <w:p>
      <w:pPr>
        <w:ind w:firstLine="560"/>
        <w:jc w:val="center"/>
        <w:rPr>
          <w:rFonts w:ascii="黑体" w:hAnsi="宋体" w:eastAsia="黑体"/>
        </w:rPr>
      </w:pPr>
    </w:p>
    <w:p>
      <w:pPr>
        <w:ind w:firstLine="560"/>
        <w:jc w:val="center"/>
        <w:rPr>
          <w:rFonts w:ascii="黑体" w:hAnsi="宋体" w:eastAsia="黑体"/>
        </w:rPr>
      </w:pPr>
    </w:p>
    <w:p>
      <w:pPr>
        <w:ind w:firstLine="560"/>
        <w:jc w:val="center"/>
        <w:rPr>
          <w:rFonts w:ascii="黑体" w:hAnsi="宋体" w:eastAsia="黑体"/>
        </w:rPr>
      </w:pPr>
    </w:p>
    <w:p>
      <w:pPr>
        <w:ind w:firstLine="3060" w:firstLineChars="1016"/>
        <w:rPr>
          <w:rFonts w:ascii="楷体" w:hAnsi="楷体" w:eastAsia="楷体"/>
          <w:b/>
          <w:sz w:val="30"/>
          <w:szCs w:val="30"/>
        </w:rPr>
      </w:pPr>
      <w:r>
        <w:rPr>
          <w:rFonts w:hint="eastAsia" w:ascii="楷体" w:hAnsi="楷体" w:eastAsia="楷体"/>
          <w:b/>
          <w:sz w:val="30"/>
          <w:szCs w:val="30"/>
        </w:rPr>
        <w:t>编    制：待确认</w:t>
      </w:r>
      <w:r>
        <w:rPr>
          <w:rFonts w:hint="eastAsia" w:ascii="楷体" w:hAnsi="楷体" w:eastAsia="楷体" w:cs="Arial"/>
          <w:b/>
          <w:sz w:val="30"/>
          <w:szCs w:val="30"/>
          <w:u w:val="single"/>
        </w:rPr>
        <w:t xml:space="preserve"/>
      </w:r>
      <w:r>
        <w:rPr>
          <w:rFonts w:ascii="楷体" w:hAnsi="楷体" w:eastAsia="楷体" w:cs="Arial"/>
          <w:b/>
          <w:sz w:val="30"/>
          <w:szCs w:val="30"/>
          <w:u w:val="single"/>
        </w:rPr>
        <w:t xml:space="preserve"/>
      </w:r>
    </w:p>
    <w:p>
      <w:pPr>
        <w:ind w:firstLine="3060" w:firstLineChars="1016"/>
        <w:rPr>
          <w:rFonts w:ascii="楷体" w:hAnsi="楷体" w:eastAsia="楷体"/>
          <w:b/>
          <w:sz w:val="30"/>
          <w:szCs w:val="30"/>
        </w:rPr>
      </w:pPr>
      <w:r>
        <w:rPr>
          <w:rFonts w:hint="eastAsia" w:ascii="楷体" w:hAnsi="楷体" w:eastAsia="楷体"/>
          <w:b/>
          <w:sz w:val="30"/>
          <w:szCs w:val="30"/>
        </w:rPr>
        <w:t>审    核：待确认</w:t>
      </w:r>
      <w:r>
        <w:rPr>
          <w:rFonts w:hint="eastAsia" w:ascii="楷体" w:hAnsi="楷体" w:eastAsia="楷体" w:cs="Arial"/>
          <w:b/>
          <w:sz w:val="30"/>
          <w:szCs w:val="30"/>
          <w:u w:val="single"/>
        </w:rPr>
        <w:t xml:space="preserve"/>
      </w:r>
    </w:p>
    <w:p>
      <w:pPr>
        <w:ind w:firstLine="3060" w:firstLineChars="1016"/>
        <w:rPr>
          <w:rFonts w:ascii="楷体" w:hAnsi="楷体" w:eastAsia="楷体"/>
          <w:b/>
          <w:sz w:val="30"/>
          <w:szCs w:val="30"/>
        </w:rPr>
      </w:pPr>
      <w:r>
        <w:rPr>
          <w:rFonts w:hint="eastAsia" w:ascii="楷体" w:hAnsi="楷体" w:eastAsia="楷体"/>
          <w:b/>
          <w:sz w:val="30"/>
          <w:szCs w:val="30"/>
        </w:rPr>
        <w:t>标    审：待确认</w:t>
      </w:r>
      <w:r>
        <w:rPr>
          <w:rFonts w:hint="eastAsia" w:ascii="楷体" w:hAnsi="楷体" w:eastAsia="楷体" w:cs="Arial"/>
          <w:b/>
          <w:sz w:val="30"/>
          <w:szCs w:val="30"/>
          <w:u w:val="single"/>
        </w:rPr>
        <w:t xml:space="preserve"/>
      </w:r>
    </w:p>
    <w:p>
      <w:pPr>
        <w:ind w:firstLine="3060" w:firstLineChars="1016"/>
        <w:rPr>
          <w:rFonts w:ascii="楷体" w:hAnsi="楷体" w:eastAsia="楷体"/>
          <w:b/>
          <w:sz w:val="30"/>
          <w:szCs w:val="30"/>
        </w:rPr>
      </w:pPr>
      <w:r>
        <w:rPr>
          <w:rFonts w:hint="eastAsia" w:ascii="楷体" w:hAnsi="楷体" w:eastAsia="楷体"/>
          <w:b/>
          <w:sz w:val="30"/>
          <w:szCs w:val="30"/>
        </w:rPr>
        <w:t>批    准：待确认</w:t>
      </w:r>
      <w:r>
        <w:rPr>
          <w:rFonts w:hint="eastAsia" w:ascii="楷体" w:hAnsi="楷体" w:eastAsia="楷体" w:cs="Arial"/>
          <w:b/>
          <w:sz w:val="30"/>
          <w:szCs w:val="30"/>
          <w:u w:val="single"/>
        </w:rPr>
        <w:t xml:space="preserve"/>
      </w:r>
    </w:p>
    <w:p>
      <w:pPr>
        <w:ind w:firstLine="560"/>
        <w:jc w:val="center"/>
        <w:rPr>
          <w:rFonts w:ascii="黑体" w:hAnsi="宋体" w:eastAsia="黑体"/>
        </w:rPr>
      </w:pPr>
    </w:p>
    <w:p>
      <w:pPr>
        <w:ind w:firstLine="560"/>
        <w:jc w:val="center"/>
        <w:rPr>
          <w:rFonts w:ascii="黑体" w:hAnsi="宋体" w:eastAsia="黑体"/>
        </w:rPr>
      </w:pPr>
    </w:p>
    <w:p>
      <w:pPr>
        <w:ind w:firstLine="560"/>
        <w:jc w:val="center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编制单位：待确认</w:t>
      </w:r>
    </w:p>
    <w:p>
      <w:pPr>
        <w:ind w:firstLine="560"/>
        <w:jc w:val="center"/>
        <w:rPr>
          <w:rFonts w:ascii="楷体" w:hAnsi="楷体" w:eastAsia="楷体"/>
          <w:sz w:val="30"/>
          <w:szCs w:val="30"/>
        </w:rPr>
        <w:sectPr>
          <w:headerReference r:id="rId5" w:type="default"/>
          <w:headerReference r:id="rId6" w:type="even"/>
          <w:footerReference r:id="rId9" w:type="first"/>
          <w:footerReference r:id="rId7" w:type="default"/>
          <w:footerReference r:id="rId8" w:type="even"/>
          <w:pgSz w:w="11906" w:h="16838"/>
          <w:pgMar w:top="1701" w:right="1474" w:bottom="1814" w:left="1588" w:header="851" w:footer="992" w:gutter="0"/>
          <w:pgNumType w:start="1" w:fmt="lowerRoman"/>
          <w:cols w:space="425" w:num="1"/>
          <w:docGrid w:type="lines" w:linePitch="381" w:charSpace="0"/>
        </w:sectPr>
      </w:pPr>
      <w:r>
        <w:rPr>
          <w:rFonts w:ascii="楷体" w:hAnsi="楷体" w:eastAsia="楷体"/>
          <w:sz w:val="30"/>
          <w:szCs w:val="30"/>
        </w:rPr>
        <w:t>编制日期：待确认</w:t>
      </w:r>
      <w:r>
        <w:rPr>
          <w:rFonts w:hint="eastAsia" w:ascii="楷体" w:hAnsi="楷体" w:eastAsia="楷体"/>
          <w:sz w:val="30"/>
          <w:szCs w:val="30"/>
          <w:lang w:val="en-US" w:eastAsia="zh-CN"/>
        </w:rPr>
        <w:t/>
      </w:r>
      <w:r>
        <w:rPr>
          <w:rFonts w:hint="eastAsia" w:ascii="楷体" w:hAnsi="楷体" w:eastAsia="楷体"/>
          <w:sz w:val="30"/>
          <w:szCs w:val="30"/>
        </w:rPr>
        <w:t/>
      </w:r>
    </w:p>
    <w:p>
      <w:pPr>
        <w:ind w:firstLine="560"/>
        <w:jc w:val="center"/>
        <w:rPr>
          <w:rFonts w:ascii="黑体" w:hAnsi="宋体" w:eastAsia="黑体"/>
          <w:sz w:val="32"/>
        </w:rPr>
      </w:pPr>
      <w:r>
        <w:rPr>
          <w:rFonts w:hint="eastAsia" w:ascii="黑体" w:hAnsi="宋体" w:eastAsia="黑体"/>
          <w:sz w:val="32"/>
          <w:lang w:val="en-US" w:eastAsia="zh-CN"/>
        </w:rPr>
        <w:t>修改</w:t>
      </w:r>
      <w:r>
        <w:rPr>
          <w:rFonts w:hint="eastAsia" w:ascii="黑体" w:hAnsi="宋体" w:eastAsia="黑体"/>
          <w:sz w:val="32"/>
        </w:rPr>
        <w:t>历史页</w:t>
      </w:r>
    </w:p>
    <w:tbl>
      <w:tblPr>
        <w:tblStyle w:val="13"/>
        <w:tblW w:w="9115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1387"/>
        <w:gridCol w:w="4434"/>
        <w:gridCol w:w="974"/>
        <w:gridCol w:w="1416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版本</w:t>
            </w: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default" w:ascii="黑体" w:hAnsi="宋体" w:eastAsia="黑体"/>
                <w:sz w:val="24"/>
                <w:lang w:val="en-US" w:eastAsia="zh-CN"/>
              </w:rPr>
            </w:pPr>
            <w:r>
              <w:rPr>
                <w:rFonts w:hint="eastAsia" w:ascii="黑体" w:hAnsi="宋体" w:eastAsia="黑体"/>
                <w:sz w:val="24"/>
                <w:lang w:val="en-US" w:eastAsia="zh-CN"/>
              </w:rPr>
              <w:t>修改原因</w:t>
            </w: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jc w:val="center"/>
              <w:rPr>
                <w:rFonts w:hint="default" w:ascii="黑体" w:hAnsi="宋体" w:eastAsia="黑体"/>
                <w:sz w:val="24"/>
                <w:lang w:val="en-US" w:eastAsia="zh-CN"/>
              </w:rPr>
            </w:pPr>
            <w:r>
              <w:rPr>
                <w:rFonts w:hint="eastAsia" w:ascii="黑体" w:hAnsi="宋体" w:eastAsia="黑体"/>
                <w:sz w:val="24"/>
                <w:lang w:val="en-US" w:eastAsia="zh-CN"/>
              </w:rPr>
              <w:t>修改内容</w:t>
            </w: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default" w:ascii="黑体" w:hAnsi="宋体" w:eastAsia="黑体"/>
                <w:sz w:val="24"/>
                <w:lang w:val="en-US" w:eastAsia="zh-CN"/>
              </w:rPr>
            </w:pPr>
            <w:r>
              <w:rPr>
                <w:rFonts w:hint="eastAsia" w:ascii="黑体" w:hAnsi="宋体" w:eastAsia="黑体"/>
                <w:sz w:val="24"/>
                <w:lang w:val="en-US" w:eastAsia="zh-CN"/>
              </w:rPr>
              <w:t>修改人</w:t>
            </w: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  <w:lang w:val="en-US" w:eastAsia="zh-CN"/>
              </w:rPr>
              <w:t>修改</w:t>
            </w:r>
            <w:r>
              <w:rPr>
                <w:rFonts w:hint="eastAsia" w:ascii="黑体" w:hAnsi="宋体" w:eastAsia="黑体"/>
                <w:sz w:val="24"/>
              </w:rPr>
              <w:t>日期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待确认</w:t>
            </w: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待确认</w:t>
            </w: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待确认</w:t>
            </w: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待确认</w:t>
            </w: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待确认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3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spacing w:line="300" w:lineRule="exac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ind w:firstLine="560"/>
        <w:jc w:val="center"/>
        <w:rPr>
          <w:rFonts w:ascii="黑体" w:hAnsi="宋体" w:eastAsia="黑体"/>
        </w:rPr>
      </w:pPr>
      <w:r>
        <w:rPr>
          <w:rFonts w:ascii="黑体" w:hAnsi="宋体" w:eastAsia="黑体"/>
        </w:rPr>
        <w:br w:type="page"/>
      </w:r>
    </w:p>
    <w:sdt>
      <w:sdtPr>
        <w:rPr>
          <w:rFonts w:ascii="Arial" w:hAnsi="Arial"/>
          <w:b w:val="0"/>
          <w:bCs w:val="0"/>
          <w:color w:val="auto"/>
          <w:kern w:val="2"/>
          <w:sz w:val="21"/>
          <w:szCs w:val="24"/>
          <w:lang w:val="zh-CN"/>
        </w:rPr>
        <w:id w:val="-1307005675"/>
        <w:docPartObj>
          <w:docPartGallery w:val="Table of Contents"/>
          <w:docPartUnique/>
        </w:docPartObj>
      </w:sdtPr>
      <w:sdtEndPr>
        <w:rPr>
          <w:rFonts w:ascii="宋体" w:hAnsi="宋体"/>
          <w:b w:val="0"/>
          <w:bCs w:val="0"/>
          <w:color w:val="auto"/>
          <w:kern w:val="2"/>
          <w:sz w:val="24"/>
          <w:szCs w:val="24"/>
          <w:lang w:val="zh-CN"/>
        </w:rPr>
      </w:sdtEndPr>
      <w:sdtContent>
        <w:p>
          <w:pPr>
            <w:pStyle w:val="33"/>
            <w:ind w:firstLine="420"/>
            <w:jc w:val="center"/>
            <w:rPr>
              <w:rFonts w:ascii="黑体" w:hAnsi="黑体" w:eastAsia="黑体"/>
              <w:b w:val="0"/>
              <w:color w:val="000000" w:themeColor="text1"/>
              <w:sz w:val="32"/>
              <w:szCs w:val="32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黑体" w:hAnsi="黑体" w:eastAsia="黑体"/>
              <w:b w:val="0"/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  <w:t>目</w:t>
          </w:r>
          <w:r>
            <w:rPr>
              <w:rFonts w:hint="eastAsia" w:ascii="黑体" w:hAnsi="黑体" w:eastAsia="黑体"/>
              <w:b w:val="0"/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  <w:t xml:space="preserve"> </w:t>
          </w:r>
          <w:r>
            <w:rPr>
              <w:rFonts w:ascii="黑体" w:hAnsi="黑体" w:eastAsia="黑体"/>
              <w:b w:val="0"/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  <w:t xml:space="preserve"> 录</w:t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kern w:val="0"/>
              <w:sz w:val="24"/>
              <w:szCs w:val="24"/>
              <w:lang w:eastAsia="en-US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TOC \o "1-3" \h \z \u </w:instrText>
          </w:r>
          <w:r>
            <w:rPr>
              <w:rFonts w:hint="eastAsia" w:ascii="宋体" w:hAnsi="宋体" w:eastAsia="宋体" w:cs="宋体"/>
              <w:kern w:val="0"/>
              <w:sz w:val="24"/>
              <w:szCs w:val="24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4"/>
              <w:lang w:eastAsia="en-US"/>
            </w:rPr>
            <w:fldChar w:fldCharType="begin"/>
          </w:r>
          <w:r>
            <w:rPr>
              <w:rFonts w:hint="eastAsia" w:ascii="宋体" w:hAnsi="宋体" w:eastAsia="宋体" w:cs="宋体"/>
              <w:kern w:val="0"/>
              <w:szCs w:val="24"/>
              <w:lang w:eastAsia="en-US"/>
            </w:rPr>
            <w:instrText xml:space="preserve"> HYPERLINK \l _Toc20514 </w:instrText>
          </w:r>
          <w:r>
            <w:rPr>
              <w:rFonts w:hint="eastAsia" w:ascii="宋体" w:hAnsi="宋体" w:eastAsia="宋体" w:cs="宋体"/>
              <w:kern w:val="0"/>
              <w:szCs w:val="24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 范围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_Toc20514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0"/>
              <w:szCs w:val="24"/>
              <w:lang w:eastAsia="en-US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_Toc24198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1.1 标识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_Toc24198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_Toc10616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1.2 系统概述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_Toc10616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_Toc1399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1.3 文档概述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_Toc1399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_Toc7527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2 引用文档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_Toc7527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_Toc27260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 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_Toc27260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_Toc14976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3.1 要求的状态和方式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_Toc14976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_Toc733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3.2 CSCI能力需求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_Toc733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_Toc9718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3.2.</w:t>
          </w:r>
          <w:r>
            <w:rPr>
              <w:rFonts w:hint="eastAsia" w:ascii="宋体" w:hAnsi="宋体" w:eastAsia="宋体" w:cs="宋体"/>
              <w:bCs w:val="0"/>
              <w:szCs w:val="24"/>
            </w:rPr>
            <w:t xml:space="preserve">X </w:t>
          </w:r>
          <w:r>
            <w:rPr>
              <w:rFonts w:hint="eastAsia" w:ascii="宋体" w:hAnsi="宋体" w:eastAsia="宋体" w:cs="宋体"/>
              <w:szCs w:val="24"/>
            </w:rPr>
            <w:t>(</w:t>
          </w:r>
          <w:r>
            <w:rPr>
              <w:rFonts w:hint="eastAsia" w:ascii="宋体" w:hAnsi="宋体" w:eastAsia="宋体" w:cs="宋体"/>
              <w:bCs w:val="0"/>
              <w:szCs w:val="24"/>
            </w:rPr>
            <w:t>CSCI</w:t>
          </w:r>
          <w:r>
            <w:rPr>
              <w:rFonts w:hint="eastAsia" w:ascii="宋体" w:hAnsi="宋体" w:eastAsia="宋体" w:cs="宋体"/>
              <w:szCs w:val="24"/>
            </w:rPr>
            <w:t>能力)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_Toc9718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_Toc6091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3.3 CSCI外部接口需求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_Toc6091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_Toc478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3.3.1 接口标识和接口图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_Toc478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_Toc21024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3.3.X (接口的唯一标识符)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_Toc21024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_Toc3673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3.4 CSCI内部接口需求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_Toc3673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_Toc2403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3.5 CSCI内部数据需求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_Toc2403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_Toc9492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3.6 适应性需求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_Toc9492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_Toc6088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3.7 保密性（Security）需求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_Toc6088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_Toc27075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3.8 安全性（Safety）需求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_Toc27075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_Toc17212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3.9 CSCI环境适应性需求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_Toc17212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_Toc8068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3.10 其他质量特性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_Toc8068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_Toc3005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3.11 计算机资源需求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_Toc3005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_Toc21072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3.11.1. 计算机硬件需求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_Toc21072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_Toc29072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3.11.2. 计算机硬件资源使用需求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_Toc29072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_Toc15576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3.11.3. 计算机软件需求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_Toc15576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_Toc6677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3.11.4. 计算机通信需求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_Toc6677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_Toc22157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3.12 设计和实现约束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_Toc22157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_Toc12360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3.13 人员相关需求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_Toc12360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_Toc4769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3.14 训练相关需求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_Toc4769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_Toc1579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3.15 软件保障需求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_Toc1579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_Toc24635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3.16 包装需求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_Toc24635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_Toc26292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3.17 其他需求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_Toc26292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_Toc15678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3.18 需求的优先顺序和关键性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_Toc15678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_Toc17393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4 合格性规定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_Toc17393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_Toc30800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5 需求可追踪性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_Toc30800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instrText xml:space="preserve"> HYPERLINK \l _Toc2942 </w:instrText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6 注释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_Toc2942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待更新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  <w:p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exact"/>
            <w:textAlignment w:val="auto"/>
            <w:rPr>
              <w:rFonts w:ascii="宋体" w:hAnsi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Cs w:val="24"/>
              <w:lang w:val="zh-CN"/>
            </w:rPr>
            <w:fldChar w:fldCharType="end"/>
          </w:r>
        </w:p>
      </w:sdtContent>
    </w:sdt>
    <w:p>
      <w:pPr>
        <w:pStyle w:val="10"/>
        <w:sectPr>
          <w:headerReference r:id="rId11" w:type="first"/>
          <w:headerReference r:id="rId10" w:type="default"/>
          <w:footerReference r:id="rId13" w:type="first"/>
          <w:footerReference r:id="rId12" w:type="default"/>
          <w:pgSz w:w="11906" w:h="16838"/>
          <w:pgMar w:top="1440" w:right="1800" w:bottom="1440" w:left="1800" w:header="851" w:footer="992" w:gutter="0"/>
          <w:pgNumType w:fmt="lowerRoman"/>
          <w:cols w:space="425" w:num="1"/>
          <w:docGrid w:type="lines" w:linePitch="312" w:charSpace="0"/>
        </w:sectPr>
      </w:pPr>
    </w:p>
    <w:bookmarkEnd w:id="0"/>
    <w:p>
      <w:pPr>
        <w:pStyle w:val="2"/>
        <w:numPr>
          <w:ilvl w:val="0"/>
          <w:numId w:val="1"/>
        </w:numPr>
        <w:ind w:firstLineChars="0"/>
      </w:pPr>
      <w:bookmarkStart w:id="1" w:name="_Toc20514"/>
      <w:r>
        <w:rPr>
          <w:rStyle w:val="28"/>
          <w:rFonts w:hint="default"/>
          <w:sz w:val="28"/>
          <w:szCs w:val="28"/>
        </w:rPr>
        <w:t>范围</w:t>
      </w:r>
      <w:bookmarkEnd w:id="1"/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2" w:name="_Toc24198"/>
      <w:r>
        <w:rPr>
          <w:rStyle w:val="28"/>
          <w:rFonts w:hint="default" w:ascii="楷体" w:hAnsi="楷体" w:eastAsia="楷体" w:cs="楷体"/>
          <w:sz w:val="28"/>
          <w:szCs w:val="28"/>
        </w:rPr>
        <w:t>标识</w:t>
      </w:r>
      <w:bookmarkEnd w:id="2"/>
    </w:p>
    <w:p>
      <w:r>
        <w:rPr>
          <w:rStyle w:val="29"/>
          <w:rFonts w:hint="default" w:ascii="仿宋" w:hAnsi="仿宋" w:eastAsia="仿宋" w:cs="仿宋"/>
          <w:sz w:val="24"/>
          <w:szCs w:val="24"/>
        </w:rPr>
        <w:t>填写适用系统、软件配置项及本文档的名称、编号和受控版本。</w:t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3" w:name="_Toc10616"/>
      <w:r>
        <w:rPr>
          <w:rStyle w:val="28"/>
          <w:rFonts w:hint="default" w:ascii="楷体" w:hAnsi="楷体" w:eastAsia="楷体" w:cs="楷体"/>
          <w:sz w:val="28"/>
          <w:szCs w:val="28"/>
        </w:rPr>
        <w:t>系统概述</w:t>
      </w:r>
      <w:bookmarkEnd w:id="3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结合项目来源说明系统用途、CSCI边界、参与方、运行场所和有关背景。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4" w:name="_Toc1399"/>
      <w:r>
        <w:rPr>
          <w:rStyle w:val="28"/>
          <w:rFonts w:hint="default" w:ascii="楷体" w:hAnsi="楷体" w:eastAsia="楷体" w:cs="楷体"/>
          <w:sz w:val="28"/>
          <w:szCs w:val="28"/>
        </w:rPr>
        <w:t>文档概述</w:t>
      </w:r>
      <w:bookmarkEnd w:id="4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说明本文档服务的评审或交付活动、内容范围及使用限制。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2"/>
        <w:numPr>
          <w:ilvl w:val="0"/>
          <w:numId w:val="1"/>
        </w:numPr>
        <w:ind w:firstLineChars="0"/>
        <w:rPr>
          <w:rStyle w:val="28"/>
          <w:rFonts w:hint="default"/>
          <w:sz w:val="28"/>
          <w:szCs w:val="28"/>
        </w:rPr>
      </w:pPr>
      <w:bookmarkStart w:id="5" w:name="_Toc7527"/>
      <w:r>
        <w:rPr>
          <w:rStyle w:val="28"/>
          <w:rFonts w:hint="default"/>
          <w:sz w:val="28"/>
          <w:szCs w:val="28"/>
        </w:rPr>
        <w:t>引用文档</w:t>
      </w:r>
      <w:bookmarkEnd w:id="5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登记引用材料的受控标识、标题、编写方、版次、日期及获取位置。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2"/>
        <w:numPr>
          <w:ilvl w:val="0"/>
          <w:numId w:val="1"/>
        </w:numPr>
        <w:ind w:firstLineChars="0"/>
        <w:rPr>
          <w:rStyle w:val="28"/>
          <w:rFonts w:hint="default"/>
          <w:sz w:val="28"/>
          <w:szCs w:val="28"/>
        </w:rPr>
      </w:pPr>
      <w:bookmarkStart w:id="6" w:name="_Toc27260"/>
      <w:r>
        <w:rPr>
          <w:rStyle w:val="28"/>
          <w:rFonts w:hint="default"/>
          <w:sz w:val="28"/>
          <w:szCs w:val="28"/>
        </w:rPr>
        <w:t>需求</w:t>
      </w:r>
      <w:bookmarkEnd w:id="6"/>
    </w:p>
    <w:p>
      <w:r>
        <w:rPr>
          <w:rFonts w:hint="eastAsia"/>
        </w:rPr>
        <w:t>逐条填写可验证需求，建立唯一编号、合格性方法和来源关联。填写提示不构成项目事实或验收结论。</w:t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7" w:name="_Toc14976"/>
      <w:r>
        <w:rPr>
          <w:rStyle w:val="28"/>
          <w:rFonts w:hint="default" w:ascii="楷体" w:hAnsi="楷体" w:eastAsia="楷体" w:cs="楷体"/>
          <w:sz w:val="28"/>
          <w:szCs w:val="28"/>
        </w:rPr>
        <w:t>要求的状态和方式</w:t>
      </w:r>
      <w:bookmarkEnd w:id="7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列明实际存在的状态和运行方式，将需求关联到适用状态；没有区分时说明依据。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8" w:name="_Toc733"/>
      <w:r>
        <w:rPr>
          <w:rStyle w:val="28"/>
          <w:rFonts w:hint="default" w:ascii="楷体" w:hAnsi="楷体" w:eastAsia="楷体" w:cs="楷体"/>
          <w:sz w:val="28"/>
          <w:szCs w:val="28"/>
        </w:rPr>
        <w:t>CSCI能力需求</w:t>
      </w:r>
      <w:bookmarkEnd w:id="8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ascii="仿宋" w:hAnsi="仿宋" w:eastAsia="仿宋" w:cs="仿宋"/>
          <w:sz w:val="24"/>
          <w:szCs w:val="24"/>
        </w:rPr>
        <w:t>按能力组织需求，需要时继续分解，并保持每条需求可单独验证。</w:t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4"/>
        <w:ind w:firstLine="482"/>
        <w:rPr>
          <w:szCs w:val="36"/>
        </w:rPr>
      </w:pPr>
      <w:bookmarkStart w:id="9" w:name="_Toc9718"/>
      <w:r>
        <w:rPr>
          <w:rStyle w:val="28"/>
          <w:rFonts w:hint="default" w:ascii="仿宋" w:hAnsi="仿宋" w:eastAsia="仿宋" w:cs="仿宋"/>
          <w:sz w:val="24"/>
          <w:szCs w:val="24"/>
        </w:rPr>
        <w:t>3.2.</w:t>
      </w:r>
      <w:r>
        <w:rPr>
          <w:rStyle w:val="31"/>
          <w:rFonts w:hint="eastAsia" w:ascii="仿宋" w:hAnsi="仿宋" w:cs="仿宋"/>
          <w:b w:val="0"/>
          <w:bCs w:val="0"/>
          <w:sz w:val="24"/>
          <w:szCs w:val="24"/>
        </w:rPr>
        <w:t xml:space="preserve">X </w:t>
      </w:r>
      <w:r>
        <w:rPr>
          <w:rStyle w:val="28"/>
          <w:rFonts w:hint="default" w:ascii="仿宋" w:hAnsi="仿宋" w:eastAsia="仿宋" w:cs="仿宋"/>
          <w:sz w:val="24"/>
          <w:szCs w:val="24"/>
        </w:rPr>
        <w:t>(</w:t>
      </w:r>
      <w:r>
        <w:rPr>
          <w:rStyle w:val="31"/>
          <w:rFonts w:hint="eastAsia" w:ascii="仿宋" w:hAnsi="仿宋" w:cs="仿宋"/>
          <w:b w:val="0"/>
          <w:bCs w:val="0"/>
          <w:sz w:val="24"/>
          <w:szCs w:val="24"/>
        </w:rPr>
        <w:t>CSCI</w:t>
      </w:r>
      <w:r>
        <w:rPr>
          <w:rStyle w:val="28"/>
          <w:rFonts w:hint="default" w:ascii="仿宋" w:hAnsi="仿宋" w:eastAsia="仿宋" w:cs="仿宋"/>
          <w:sz w:val="24"/>
          <w:szCs w:val="24"/>
        </w:rPr>
        <w:t>能力)</w:t>
      </w:r>
      <w:bookmarkEnd w:id="9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填写本能力的触发条件、输入、处理结果、量化边界及异常响应。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10" w:name="_Toc6091"/>
      <w:r>
        <w:rPr>
          <w:rStyle w:val="28"/>
          <w:rFonts w:hint="default" w:ascii="楷体" w:hAnsi="楷体" w:eastAsia="楷体" w:cs="楷体"/>
          <w:sz w:val="28"/>
          <w:szCs w:val="28"/>
        </w:rPr>
        <w:t>CSCI外部接口需求</w:t>
      </w:r>
      <w:bookmarkEnd w:id="10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列明外部交互边界；引用IRS时给出受控版本和可定位条款。</w:t>
      </w:r>
    </w:p>
    <w:p>
      <w:pPr>
        <w:pStyle w:val="4"/>
        <w:ind w:firstLine="482"/>
        <w:rPr>
          <w:szCs w:val="36"/>
        </w:rPr>
      </w:pPr>
      <w:bookmarkStart w:id="11" w:name="_Toc478"/>
      <w:r>
        <w:rPr>
          <w:rStyle w:val="28"/>
          <w:rFonts w:hint="default" w:ascii="仿宋" w:hAnsi="仿宋" w:eastAsia="仿宋" w:cs="仿宋"/>
          <w:sz w:val="24"/>
          <w:szCs w:val="24"/>
        </w:rPr>
        <w:t>3.3.1 接口标识和接口图</w:t>
      </w:r>
      <w:bookmarkEnd w:id="11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为接口和交互实体编号，绘制接口图并区分既定特性与待协调事项。</w:t>
      </w:r>
    </w:p>
    <w:p>
      <w:pPr>
        <w:pStyle w:val="4"/>
        <w:ind w:firstLine="482"/>
        <w:rPr>
          <w:rStyle w:val="28"/>
          <w:rFonts w:hint="default" w:ascii="仿宋" w:hAnsi="仿宋" w:eastAsia="仿宋" w:cs="仿宋"/>
          <w:sz w:val="24"/>
          <w:szCs w:val="24"/>
        </w:rPr>
      </w:pPr>
      <w:bookmarkStart w:id="12" w:name="_Toc21024"/>
      <w:r>
        <w:rPr>
          <w:rStyle w:val="28"/>
          <w:rFonts w:hint="default" w:ascii="仿宋" w:hAnsi="仿宋" w:eastAsia="仿宋" w:cs="仿宋"/>
          <w:sz w:val="24"/>
          <w:szCs w:val="24"/>
        </w:rPr>
        <w:t>3.3.X (接口的唯一标识符)</w:t>
      </w:r>
      <w:bookmarkEnd w:id="12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记录交互双方、数据结构、通信与协议约束、时序容量、异常处理和验证依据；对外方行为使用假设或触发条件。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13" w:name="_Toc3673"/>
      <w:r>
        <w:rPr>
          <w:rStyle w:val="28"/>
          <w:rFonts w:hint="default" w:ascii="楷体" w:hAnsi="楷体" w:eastAsia="楷体" w:cs="楷体"/>
          <w:sz w:val="28"/>
          <w:szCs w:val="28"/>
        </w:rPr>
        <w:t>CSCI内部接口需求</w:t>
      </w:r>
      <w:bookmarkEnd w:id="13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填写已对内部交互提出的约束；留待设计的部分在此明确说明。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14" w:name="_Toc2403"/>
      <w:r>
        <w:rPr>
          <w:rStyle w:val="28"/>
          <w:rFonts w:hint="default" w:ascii="楷体" w:hAnsi="楷体" w:eastAsia="楷体" w:cs="楷体"/>
          <w:sz w:val="28"/>
          <w:szCs w:val="28"/>
        </w:rPr>
        <w:t>CSCI内部数据需求</w:t>
      </w:r>
      <w:bookmarkEnd w:id="14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填写受约束的内部数据、组合结构及存储规则；未提前约束时说明安排。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15" w:name="_Toc9492"/>
      <w:r>
        <w:rPr>
          <w:rStyle w:val="28"/>
          <w:rFonts w:hint="default" w:ascii="楷体" w:hAnsi="楷体" w:eastAsia="楷体" w:cs="楷体"/>
          <w:sz w:val="28"/>
          <w:szCs w:val="28"/>
        </w:rPr>
        <w:t>适应性需求</w:t>
      </w:r>
      <w:bookmarkEnd w:id="15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ascii="仿宋" w:hAnsi="仿宋" w:eastAsia="仿宋" w:cs="仿宋"/>
          <w:sz w:val="24"/>
          <w:szCs w:val="24"/>
        </w:rPr>
        <w:t>记录部署现场数据和允许调整的运行参数，给出范围与生效条件。</w:t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16" w:name="_Toc6088"/>
      <w:r>
        <w:rPr>
          <w:rStyle w:val="28"/>
          <w:rFonts w:ascii="楷体" w:hAnsi="楷体" w:eastAsia="楷体" w:cs="楷体"/>
          <w:sz w:val="28"/>
          <w:szCs w:val="28"/>
        </w:rPr>
        <w:t>保密性（S</w:t>
      </w:r>
      <w:r>
        <w:rPr>
          <w:rStyle w:val="28"/>
          <w:rFonts w:hint="default" w:ascii="楷体" w:hAnsi="楷体" w:eastAsia="楷体" w:cs="楷体"/>
          <w:sz w:val="28"/>
          <w:szCs w:val="28"/>
        </w:rPr>
        <w:t>ecurity</w:t>
      </w:r>
      <w:r>
        <w:rPr>
          <w:rStyle w:val="28"/>
          <w:rFonts w:ascii="楷体" w:hAnsi="楷体" w:eastAsia="楷体" w:cs="楷体"/>
          <w:sz w:val="28"/>
          <w:szCs w:val="28"/>
        </w:rPr>
        <w:t>）</w:t>
      </w:r>
      <w:r>
        <w:rPr>
          <w:rStyle w:val="28"/>
          <w:rFonts w:hint="default" w:ascii="楷体" w:hAnsi="楷体" w:eastAsia="楷体" w:cs="楷体"/>
          <w:sz w:val="28"/>
          <w:szCs w:val="28"/>
        </w:rPr>
        <w:t>需求</w:t>
      </w:r>
      <w:bookmarkEnd w:id="16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围绕信息保护列出环境、威胁、控制措施及验证准则，保留来源依据。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17" w:name="_Toc27075"/>
      <w:r>
        <w:rPr>
          <w:rStyle w:val="28"/>
          <w:rFonts w:ascii="楷体" w:hAnsi="楷体" w:eastAsia="楷体" w:cs="楷体"/>
          <w:sz w:val="28"/>
          <w:szCs w:val="28"/>
        </w:rPr>
        <w:t>安全性（S</w:t>
      </w:r>
      <w:r>
        <w:rPr>
          <w:rStyle w:val="28"/>
          <w:rFonts w:hint="default" w:ascii="楷体" w:hAnsi="楷体" w:eastAsia="楷体" w:cs="楷体"/>
          <w:sz w:val="28"/>
          <w:szCs w:val="28"/>
        </w:rPr>
        <w:t>afety</w:t>
      </w:r>
      <w:r>
        <w:rPr>
          <w:rStyle w:val="28"/>
          <w:rFonts w:ascii="楷体" w:hAnsi="楷体" w:eastAsia="楷体" w:cs="楷体"/>
          <w:sz w:val="28"/>
          <w:szCs w:val="28"/>
        </w:rPr>
        <w:t>）</w:t>
      </w:r>
      <w:r>
        <w:rPr>
          <w:rStyle w:val="28"/>
          <w:rFonts w:hint="default" w:ascii="楷体" w:hAnsi="楷体" w:eastAsia="楷体" w:cs="楷体"/>
          <w:sz w:val="28"/>
          <w:szCs w:val="28"/>
        </w:rPr>
        <w:t>需求</w:t>
      </w:r>
      <w:bookmarkEnd w:id="17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围绕意外伤害和财产环境损失列出危险、预防措施与失效响应。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18" w:name="_Toc17212"/>
      <w:r>
        <w:rPr>
          <w:rStyle w:val="28"/>
          <w:rFonts w:hint="default" w:ascii="楷体" w:hAnsi="楷体" w:eastAsia="楷体" w:cs="楷体"/>
          <w:sz w:val="28"/>
          <w:szCs w:val="28"/>
        </w:rPr>
        <w:t>CSCI环境</w:t>
      </w:r>
      <w:r>
        <w:rPr>
          <w:rStyle w:val="28"/>
          <w:rFonts w:ascii="楷体" w:hAnsi="楷体" w:eastAsia="楷体" w:cs="楷体"/>
          <w:sz w:val="28"/>
          <w:szCs w:val="28"/>
        </w:rPr>
        <w:t>适应性</w:t>
      </w:r>
      <w:r>
        <w:rPr>
          <w:rStyle w:val="28"/>
          <w:rFonts w:hint="default" w:ascii="楷体" w:hAnsi="楷体" w:eastAsia="楷体" w:cs="楷体"/>
          <w:sz w:val="28"/>
          <w:szCs w:val="28"/>
        </w:rPr>
        <w:t>需求</w:t>
      </w:r>
      <w:bookmarkEnd w:id="18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填写软件运行所依赖的环境条件及可验证边界。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19" w:name="_Toc8068"/>
      <w:r>
        <w:rPr>
          <w:rStyle w:val="28"/>
          <w:rFonts w:ascii="楷体" w:hAnsi="楷体" w:eastAsia="楷体" w:cs="楷体"/>
          <w:sz w:val="28"/>
          <w:szCs w:val="28"/>
        </w:rPr>
        <w:t>其他质量特性</w:t>
      </w:r>
      <w:bookmarkEnd w:id="19"/>
    </w:p>
    <w:p>
      <w:r>
        <w:rPr>
          <w:rFonts w:hint="eastAsia"/>
        </w:rPr>
        <w:t>依据已分配的质量目标填写指标、测量条件与判定规则。</w:t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20" w:name="_Toc3005"/>
      <w:r>
        <w:rPr>
          <w:rStyle w:val="28"/>
          <w:rFonts w:hint="default" w:ascii="楷体" w:hAnsi="楷体" w:eastAsia="楷体" w:cs="楷体"/>
          <w:sz w:val="28"/>
          <w:szCs w:val="28"/>
        </w:rPr>
        <w:t>计算机资源需求</w:t>
      </w:r>
      <w:bookmarkEnd w:id="20"/>
    </w:p>
    <w:p>
      <w:pPr>
        <w:pStyle w:val="4"/>
        <w:numPr>
          <w:ilvl w:val="2"/>
          <w:numId w:val="1"/>
        </w:numPr>
        <w:ind w:firstLineChars="0"/>
        <w:rPr>
          <w:rStyle w:val="28"/>
          <w:rFonts w:hint="default" w:ascii="仿宋" w:hAnsi="仿宋" w:eastAsia="仿宋" w:cs="仿宋"/>
          <w:sz w:val="24"/>
          <w:szCs w:val="24"/>
        </w:rPr>
      </w:pPr>
      <w:bookmarkStart w:id="21" w:name="_Toc21072"/>
      <w:r>
        <w:rPr>
          <w:rStyle w:val="28"/>
          <w:rFonts w:hint="default" w:ascii="仿宋" w:hAnsi="仿宋" w:eastAsia="仿宋" w:cs="仿宋"/>
          <w:sz w:val="24"/>
          <w:szCs w:val="24"/>
        </w:rPr>
        <w:t>计算机硬件需求</w:t>
      </w:r>
      <w:bookmarkEnd w:id="21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填写已受约束的硬件名称、配置和容量；未经确认的选择不写作既定事实。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4"/>
        <w:numPr>
          <w:ilvl w:val="2"/>
          <w:numId w:val="1"/>
        </w:numPr>
        <w:ind w:firstLineChars="0"/>
        <w:rPr>
          <w:rStyle w:val="28"/>
          <w:rFonts w:hint="default" w:ascii="仿宋" w:hAnsi="仿宋" w:eastAsia="仿宋" w:cs="仿宋"/>
          <w:sz w:val="24"/>
          <w:szCs w:val="24"/>
        </w:rPr>
      </w:pPr>
      <w:bookmarkStart w:id="22" w:name="_Toc29072"/>
      <w:r>
        <w:rPr>
          <w:rStyle w:val="28"/>
          <w:rFonts w:hint="default" w:ascii="仿宋" w:hAnsi="仿宋" w:eastAsia="仿宋" w:cs="仿宋"/>
          <w:sz w:val="24"/>
          <w:szCs w:val="24"/>
        </w:rPr>
        <w:t>计算机硬件资源使用需求</w:t>
      </w:r>
      <w:bookmarkEnd w:id="22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给出资源使用上限、负载条件和测量口径。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4"/>
        <w:numPr>
          <w:ilvl w:val="2"/>
          <w:numId w:val="1"/>
        </w:numPr>
        <w:ind w:firstLineChars="0"/>
        <w:rPr>
          <w:rStyle w:val="28"/>
          <w:rFonts w:hint="default" w:ascii="仿宋" w:hAnsi="仿宋" w:eastAsia="仿宋" w:cs="仿宋"/>
          <w:sz w:val="24"/>
          <w:szCs w:val="24"/>
        </w:rPr>
      </w:pPr>
      <w:bookmarkStart w:id="23" w:name="_Toc15576"/>
      <w:r>
        <w:rPr>
          <w:rStyle w:val="28"/>
          <w:rFonts w:hint="default" w:ascii="仿宋" w:hAnsi="仿宋" w:eastAsia="仿宋" w:cs="仿宋"/>
          <w:sz w:val="24"/>
          <w:szCs w:val="24"/>
        </w:rPr>
        <w:t>计算机软件需求</w:t>
      </w:r>
      <w:bookmarkEnd w:id="23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登记必须使用的软件名称、版本及依据，区分约束与候选方案。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4"/>
        <w:numPr>
          <w:ilvl w:val="2"/>
          <w:numId w:val="1"/>
        </w:numPr>
        <w:ind w:firstLineChars="0"/>
        <w:rPr>
          <w:rStyle w:val="28"/>
          <w:rFonts w:hint="default" w:ascii="仿宋" w:hAnsi="仿宋" w:eastAsia="仿宋" w:cs="仿宋"/>
          <w:sz w:val="24"/>
          <w:szCs w:val="24"/>
        </w:rPr>
      </w:pPr>
      <w:bookmarkStart w:id="24" w:name="_Toc6677"/>
      <w:r>
        <w:rPr>
          <w:rStyle w:val="28"/>
          <w:rFonts w:hint="default" w:ascii="仿宋" w:hAnsi="仿宋" w:eastAsia="仿宋" w:cs="仿宋"/>
          <w:sz w:val="24"/>
          <w:szCs w:val="24"/>
        </w:rPr>
        <w:t>计算机通信需求</w:t>
      </w:r>
      <w:bookmarkEnd w:id="24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填写通信拓扑、传输能力、时间要求及约束依据。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25" w:name="_Toc22157"/>
      <w:r>
        <w:rPr>
          <w:rStyle w:val="28"/>
          <w:rFonts w:hint="default" w:ascii="楷体" w:hAnsi="楷体" w:eastAsia="楷体" w:cs="楷体"/>
          <w:sz w:val="28"/>
          <w:szCs w:val="28"/>
        </w:rPr>
        <w:t>设计和实现约束</w:t>
      </w:r>
      <w:bookmarkEnd w:id="25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只记录有来源的设计实现约束，标明对架构、技术和扩展能力的影响。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26" w:name="_Toc12360"/>
      <w:r>
        <w:rPr>
          <w:rStyle w:val="28"/>
          <w:rFonts w:hint="default" w:ascii="楷体" w:hAnsi="楷体" w:eastAsia="楷体" w:cs="楷体"/>
          <w:sz w:val="28"/>
          <w:szCs w:val="28"/>
        </w:rPr>
        <w:t>人员</w:t>
      </w:r>
      <w:r>
        <w:rPr>
          <w:rStyle w:val="28"/>
          <w:rFonts w:ascii="楷体" w:hAnsi="楷体" w:eastAsia="楷体" w:cs="楷体"/>
          <w:sz w:val="28"/>
          <w:szCs w:val="28"/>
        </w:rPr>
        <w:t>相关</w:t>
      </w:r>
      <w:r>
        <w:rPr>
          <w:rStyle w:val="28"/>
          <w:rFonts w:hint="default" w:ascii="楷体" w:hAnsi="楷体" w:eastAsia="楷体" w:cs="楷体"/>
          <w:sz w:val="28"/>
          <w:szCs w:val="28"/>
        </w:rPr>
        <w:t>需求</w:t>
      </w:r>
      <w:bookmarkEnd w:id="26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明确用户与保障人员的数量、能力、工作条件和人机交互限制。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27" w:name="_Toc4769"/>
      <w:r>
        <w:rPr>
          <w:rStyle w:val="28"/>
          <w:rFonts w:ascii="楷体" w:hAnsi="楷体" w:eastAsia="楷体" w:cs="楷体"/>
          <w:sz w:val="28"/>
          <w:szCs w:val="28"/>
        </w:rPr>
        <w:t>训练相关</w:t>
      </w:r>
      <w:r>
        <w:rPr>
          <w:rStyle w:val="28"/>
          <w:rFonts w:hint="default" w:ascii="楷体" w:hAnsi="楷体" w:eastAsia="楷体" w:cs="楷体"/>
          <w:sz w:val="28"/>
          <w:szCs w:val="28"/>
        </w:rPr>
        <w:t>需求</w:t>
      </w:r>
      <w:bookmarkEnd w:id="27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ascii="仿宋" w:hAnsi="仿宋" w:eastAsia="仿宋" w:cs="仿宋"/>
          <w:sz w:val="24"/>
          <w:szCs w:val="24"/>
        </w:rPr>
        <w:t>填写需由本软件提供的训练功能及其适用对象和判定条件。</w:t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28" w:name="_Toc1579"/>
      <w:r>
        <w:rPr>
          <w:rStyle w:val="28"/>
          <w:rFonts w:hint="default" w:ascii="楷体" w:hAnsi="楷体" w:eastAsia="楷体" w:cs="楷体"/>
          <w:sz w:val="28"/>
          <w:szCs w:val="28"/>
        </w:rPr>
        <w:t>软件保障需求</w:t>
      </w:r>
      <w:bookmarkEnd w:id="28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填写维护、保障、运输和设施方面影响本软件的要求。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29" w:name="_Toc24635"/>
      <w:r>
        <w:rPr>
          <w:rStyle w:val="28"/>
          <w:rFonts w:ascii="楷体" w:hAnsi="楷体" w:eastAsia="楷体" w:cs="楷体"/>
          <w:sz w:val="28"/>
          <w:szCs w:val="28"/>
        </w:rPr>
        <w:t>包装</w:t>
      </w:r>
      <w:r>
        <w:rPr>
          <w:rStyle w:val="28"/>
          <w:rFonts w:hint="default" w:ascii="楷体" w:hAnsi="楷体" w:eastAsia="楷体" w:cs="楷体"/>
          <w:sz w:val="28"/>
          <w:szCs w:val="28"/>
        </w:rPr>
        <w:t>需求</w:t>
      </w:r>
      <w:bookmarkEnd w:id="29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填写交付介质、包装、标记和处理要求及引用依据。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30" w:name="_Toc26292"/>
      <w:r>
        <w:rPr>
          <w:rStyle w:val="28"/>
          <w:rFonts w:ascii="楷体" w:hAnsi="楷体" w:eastAsia="楷体" w:cs="楷体"/>
          <w:sz w:val="28"/>
          <w:szCs w:val="28"/>
        </w:rPr>
        <w:t>其他</w:t>
      </w:r>
      <w:r>
        <w:rPr>
          <w:rStyle w:val="28"/>
          <w:rFonts w:hint="default" w:ascii="楷体" w:hAnsi="楷体" w:eastAsia="楷体" w:cs="楷体"/>
          <w:sz w:val="28"/>
          <w:szCs w:val="28"/>
        </w:rPr>
        <w:t>需求</w:t>
      </w:r>
      <w:bookmarkEnd w:id="30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填写尚未覆盖的需求并解释为何归入本条；无内容时保留条目并说明。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3"/>
        <w:numPr>
          <w:ilvl w:val="1"/>
          <w:numId w:val="1"/>
        </w:numPr>
        <w:ind w:firstLineChars="0"/>
        <w:rPr>
          <w:rStyle w:val="28"/>
          <w:rFonts w:hint="default" w:ascii="楷体" w:hAnsi="楷体" w:eastAsia="楷体" w:cs="楷体"/>
          <w:sz w:val="28"/>
          <w:szCs w:val="28"/>
        </w:rPr>
      </w:pPr>
      <w:bookmarkStart w:id="31" w:name="_Toc15678"/>
      <w:r>
        <w:rPr>
          <w:rStyle w:val="28"/>
          <w:rFonts w:hint="default" w:ascii="楷体" w:hAnsi="楷体" w:eastAsia="楷体" w:cs="楷体"/>
          <w:sz w:val="28"/>
          <w:szCs w:val="28"/>
        </w:rPr>
        <w:t>需求的优先顺序和关键</w:t>
      </w:r>
      <w:r>
        <w:rPr>
          <w:rStyle w:val="28"/>
          <w:rFonts w:ascii="楷体" w:hAnsi="楷体" w:eastAsia="楷体" w:cs="楷体"/>
          <w:sz w:val="28"/>
          <w:szCs w:val="28"/>
        </w:rPr>
        <w:t>性</w:t>
      </w:r>
      <w:bookmarkEnd w:id="31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说明优先级与关键性的判定规则；相同权重可统一声明。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2"/>
        <w:numPr>
          <w:ilvl w:val="0"/>
          <w:numId w:val="1"/>
        </w:numPr>
        <w:ind w:firstLineChars="0"/>
        <w:rPr>
          <w:rStyle w:val="28"/>
          <w:rFonts w:hint="default"/>
          <w:sz w:val="28"/>
          <w:szCs w:val="28"/>
        </w:rPr>
      </w:pPr>
      <w:bookmarkStart w:id="32" w:name="_Toc17393"/>
      <w:r>
        <w:rPr>
          <w:rStyle w:val="28"/>
          <w:rFonts w:hint="default"/>
          <w:sz w:val="28"/>
          <w:szCs w:val="28"/>
        </w:rPr>
        <w:t>合格性规定</w:t>
      </w:r>
      <w:bookmarkEnd w:id="32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建立需求与合格性方法的对应表，明确取证方式和判定条件；特殊方法说明使用条件。</w:t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  <w:r>
        <w:rPr>
          <w:rStyle w:val="29"/>
          <w:rFonts w:ascii="仿宋" w:hAnsi="仿宋" w:eastAsia="仿宋" w:cs="仿宋"/>
          <w:sz w:val="24"/>
          <w:szCs w:val="24"/>
        </w:rPr>
        <w:t/>
      </w:r>
      <w:r>
        <w:rPr>
          <w:rStyle w:val="29"/>
          <w:rFonts w:hint="default" w:ascii="仿宋" w:hAnsi="仿宋" w:eastAsia="仿宋" w:cs="仿宋"/>
          <w:sz w:val="24"/>
          <w:szCs w:val="24"/>
        </w:rPr>
        <w:t/>
      </w:r>
    </w:p>
    <w:p>
      <w:pPr>
        <w:pStyle w:val="2"/>
        <w:numPr>
          <w:ilvl w:val="0"/>
          <w:numId w:val="1"/>
        </w:numPr>
        <w:ind w:firstLineChars="0"/>
        <w:rPr>
          <w:rStyle w:val="28"/>
          <w:rFonts w:hint="default"/>
          <w:sz w:val="28"/>
          <w:szCs w:val="28"/>
        </w:rPr>
      </w:pPr>
      <w:bookmarkStart w:id="33" w:name="_Toc30800"/>
      <w:r>
        <w:rPr>
          <w:rStyle w:val="28"/>
          <w:rFonts w:hint="default"/>
          <w:sz w:val="28"/>
          <w:szCs w:val="28"/>
        </w:rPr>
        <w:t>需求可追踪性</w:t>
      </w:r>
      <w:bookmarkEnd w:id="33"/>
    </w:p>
    <w:p>
      <w:pPr>
        <w:rPr>
          <w:rStyle w:val="29"/>
          <w:rFonts w:hint="default" w:ascii="仿宋" w:hAnsi="仿宋" w:eastAsia="仿宋" w:cs="仿宋"/>
          <w:sz w:val="24"/>
          <w:szCs w:val="24"/>
        </w:rPr>
      </w:pPr>
      <w:r>
        <w:rPr>
          <w:rStyle w:val="29"/>
          <w:rFonts w:hint="default" w:ascii="仿宋" w:hAnsi="仿宋" w:eastAsia="仿宋" w:cs="仿宋"/>
          <w:sz w:val="24"/>
          <w:szCs w:val="24"/>
        </w:rPr>
        <w:t>分别检查CSCI需求的来源和已分配上级需求的去向；派生需求注明产生依据，IRS中的需求保留可定位引用。</w:t>
      </w:r>
    </w:p>
    <w:p>
      <w:pPr>
        <w:pStyle w:val="2"/>
        <w:numPr>
          <w:ilvl w:val="0"/>
          <w:numId w:val="1"/>
        </w:numPr>
        <w:ind w:firstLineChars="0"/>
        <w:rPr>
          <w:rStyle w:val="28"/>
          <w:rFonts w:hint="default"/>
          <w:sz w:val="28"/>
          <w:szCs w:val="28"/>
        </w:rPr>
      </w:pPr>
      <w:bookmarkStart w:id="34" w:name="_Toc2942"/>
      <w:r>
        <w:rPr>
          <w:rStyle w:val="28"/>
          <w:rFonts w:hint="default"/>
          <w:sz w:val="28"/>
          <w:szCs w:val="28"/>
        </w:rPr>
        <w:t>注释</w:t>
      </w:r>
      <w:bookmarkEnd w:id="34"/>
    </w:p>
    <w:p>
      <w:pPr>
        <w:rPr>
          <w:sz w:val="28"/>
        </w:rPr>
      </w:pPr>
      <w:r>
        <w:rPr>
          <w:rStyle w:val="29"/>
          <w:rFonts w:hint="default" w:ascii="仿宋" w:hAnsi="仿宋" w:eastAsia="仿宋"/>
          <w:sz w:val="24"/>
          <w:szCs w:val="24"/>
        </w:rPr>
        <w:t>补充阅读所需的术语、缩略语和背景说明，保留与正文一致的定义。</w:t>
      </w:r>
      <w:r>
        <w:rPr>
          <w:rStyle w:val="32"/>
          <w:rFonts w:ascii="仿宋" w:hAnsi="仿宋"/>
          <w:sz w:val="24"/>
          <w:szCs w:val="24"/>
        </w:rPr>
        <w:t/>
      </w:r>
      <w:r>
        <w:rPr>
          <w:rStyle w:val="29"/>
          <w:rFonts w:hint="default" w:ascii="仿宋" w:hAnsi="仿宋" w:eastAsia="仿宋"/>
          <w:sz w:val="24"/>
          <w:szCs w:val="24"/>
        </w:rPr>
        <w:t/>
      </w:r>
      <w:r>
        <w:rPr>
          <w:rStyle w:val="32"/>
          <w:rFonts w:ascii="仿宋" w:hAnsi="仿宋"/>
          <w:sz w:val="24"/>
          <w:szCs w:val="24"/>
        </w:rPr>
        <w:t/>
      </w:r>
      <w:r>
        <w:rPr>
          <w:rStyle w:val="29"/>
          <w:rFonts w:hint="default" w:ascii="仿宋" w:hAnsi="仿宋" w:eastAsia="仿宋"/>
          <w:sz w:val="24"/>
          <w:szCs w:val="24"/>
        </w:rPr>
        <w:t/>
      </w:r>
    </w:p>
    <w:sectPr>
      <w:headerReference r:id="rId14" w:type="default"/>
      <w:footerReference r:id="rId15" w:type="default"/>
      <w:pgSz w:w="11906" w:h="16838"/>
      <w:pgMar w:top="1440" w:right="1800" w:bottom="1440" w:left="1800" w:header="851" w:footer="992" w:gutter="0"/>
      <w:pgNumType w:start="1"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i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i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t xml:space="preserve">― 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t xml:space="preserve"> ―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89349449"/>
    </w:sdtPr>
    <w:sdtContent>
      <w:p>
        <w:pPr>
          <w:pStyle w:val="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t xml:space="preserve">― 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t xml:space="preserve">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left="0" w:right="0" w:firstLine="0"/>
      <w:jc w:val="right"/>
    </w:pPr>
    <w:r>
      <w:rPr>
        <w:rFonts w:hint="eastAsia" w:ascii="宋体" w:hAnsi="宋体" w:eastAsia="宋体" w:cs="宋体"/>
        <w:sz w:val="18"/>
        <w:szCs w:val="18"/>
      </w:rPr>
      <w:t>软件需求规格说明</w:t>
    </w:r>
    <w:r>
      <w:rPr>
        <w:rFonts w:hint="eastAsia" w:ascii="宋体" w:hAnsi="宋体" w:eastAsia="宋体" w:cs="宋体"/>
        <w:sz w:val="18"/>
        <w:szCs w:val="18"/>
        <w:lang w:val="en-US" w:eastAsia="zh-CN"/>
      </w:rPr>
      <w:t/>
    </w:r>
    <w:r>
      <w:rPr>
        <w:rFonts w:hint="eastAsia" w:ascii="宋体" w:hAnsi="宋体" w:eastAsia="宋体" w:cs="宋体"/>
        <w:sz w:val="18"/>
        <w:szCs w:val="18"/>
      </w:rPr>
      <w:t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eastAsia" w:ascii="宋体" w:hAnsi="宋体" w:eastAsia="宋体" w:cs="宋体"/>
        <w:sz w:val="18"/>
        <w:szCs w:val="18"/>
      </w:rPr>
      <w:ind w:left="0" w:right="0" w:firstLine="0"/>
      <w:jc w:val="right"/>
    </w:pPr>
    <w:r>
      <w:rPr>
        <w:rFonts w:hint="eastAsia" w:ascii="宋体" w:hAnsi="宋体" w:eastAsia="宋体" w:cs="宋体"/>
        <w:sz w:val="18"/>
        <w:szCs w:val="18"/>
      </w:rPr>
      <w:t>软件需求规格说明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eastAsia" w:ascii="宋体" w:hAnsi="宋体" w:eastAsia="宋体" w:cs="宋体"/>
        <w:sz w:val="18"/>
        <w:szCs w:val="18"/>
      </w:rPr>
      <w:ind w:left="0" w:right="0" w:firstLine="0"/>
      <w:jc w:val="right"/>
    </w:pPr>
    <w:r>
      <w:rPr>
        <w:rFonts w:hint="eastAsia" w:ascii="宋体" w:hAnsi="宋体" w:eastAsia="宋体" w:cs="宋体"/>
        <w:sz w:val="18"/>
        <w:szCs w:val="18"/>
      </w:rPr>
      <w:t>软件需求规格说明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left="0" w:right="0" w:firstLine="0"/>
      <w:jc w:val="right"/>
    </w:pPr>
    <w:r>
      <w:rPr>
        <w:rFonts w:hint="eastAsia"/>
      </w:rPr>
      <w:t>软件需求规格说明</w:t>
    </w:r>
    <w:r>
      <w:t/>
    </w:r>
    <w:r>
      <w:rPr>
        <w:rFonts w:hint="eastAsia"/>
      </w:rPr>
      <w:t/>
    </w:r>
    <w:r>
      <w:t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BF3D39"/>
    <w:multiLevelType w:val="multilevel"/>
    <w:tmpl w:val="00BF3D39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firstLine="0"/>
      </w:pPr>
      <w:rPr>
        <w:rFonts w:hint="default" w:ascii="黑体" w:hAnsi="黑体" w:eastAsia="黑体" w:cs="黑体"/>
        <w:sz w:val="28"/>
        <w:szCs w:val="28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0" w:firstLine="0"/>
      </w:pPr>
      <w:rPr>
        <w:rFonts w:hint="default" w:ascii="楷体" w:hAnsi="楷体" w:eastAsia="楷体" w:cs="等线 Light"/>
        <w:sz w:val="28"/>
        <w:szCs w:val="28"/>
      </w:rPr>
    </w:lvl>
    <w:lvl w:ilvl="2" w:tentative="0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" w:hAnsi="仿宋" w:eastAsia="仿宋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line="579" w:lineRule="exact"/>
      <w:ind w:firstLine="480" w:firstLineChars="200"/>
    </w:pPr>
    <w:rPr>
      <w:rFonts w:ascii="仿宋" w:hAnsi="仿宋" w:eastAsia="仿宋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0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26"/>
    <w:autoRedefine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="宋体" w:hAnsi="宋体" w:eastAsia="宋体"/>
    </w:rPr>
  </w:style>
  <w:style w:type="paragraph" w:styleId="9">
    <w:name w:val="header"/>
    <w:basedOn w:val="1"/>
    <w:link w:val="16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right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2">
    <w:name w:val="Title"/>
    <w:basedOn w:val="1"/>
    <w:next w:val="1"/>
    <w:link w:val="24"/>
    <w:autoRedefine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5">
    <w:name w:val="Hyperlink"/>
    <w:basedOn w:val="14"/>
    <w:autoRedefine/>
    <w:unhideWhenUsed/>
    <w:qFormat/>
    <w:uiPriority w:val="99"/>
    <w:rPr>
      <w:color w:val="0000FF"/>
      <w:u w:val="single"/>
    </w:rPr>
  </w:style>
  <w:style w:type="character" w:customStyle="1" w:styleId="16">
    <w:name w:val="页眉 字符"/>
    <w:basedOn w:val="14"/>
    <w:link w:val="9"/>
    <w:autoRedefine/>
    <w:qFormat/>
    <w:uiPriority w:val="0"/>
    <w:rPr>
      <w:sz w:val="18"/>
      <w:szCs w:val="18"/>
    </w:rPr>
  </w:style>
  <w:style w:type="character" w:customStyle="1" w:styleId="17">
    <w:name w:val="页脚 字符"/>
    <w:basedOn w:val="14"/>
    <w:link w:val="8"/>
    <w:autoRedefine/>
    <w:qFormat/>
    <w:uiPriority w:val="99"/>
    <w:rPr>
      <w:rFonts w:ascii="宋体" w:hAnsi="宋体" w:eastAsia="宋体"/>
      <w:szCs w:val="24"/>
    </w:rPr>
  </w:style>
  <w:style w:type="character" w:customStyle="1" w:styleId="18">
    <w:name w:val="标题 1 字符"/>
    <w:basedOn w:val="14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9">
    <w:name w:val="标题 2 字符"/>
    <w:basedOn w:val="14"/>
    <w:link w:val="3"/>
    <w:autoRedefine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20">
    <w:name w:val="标题 3 字符"/>
    <w:basedOn w:val="14"/>
    <w:link w:val="4"/>
    <w:autoRedefine/>
    <w:qFormat/>
    <w:uiPriority w:val="9"/>
    <w:rPr>
      <w:b/>
      <w:bCs/>
      <w:sz w:val="32"/>
      <w:szCs w:val="32"/>
    </w:rPr>
  </w:style>
  <w:style w:type="paragraph" w:customStyle="1" w:styleId="21">
    <w:name w:val="目录 11"/>
    <w:basedOn w:val="1"/>
    <w:next w:val="1"/>
    <w:autoRedefine/>
    <w:unhideWhenUsed/>
    <w:qFormat/>
    <w:uiPriority w:val="39"/>
  </w:style>
  <w:style w:type="paragraph" w:customStyle="1" w:styleId="22">
    <w:name w:val="目录 21"/>
    <w:basedOn w:val="1"/>
    <w:next w:val="1"/>
    <w:autoRedefine/>
    <w:unhideWhenUsed/>
    <w:qFormat/>
    <w:uiPriority w:val="39"/>
    <w:pPr>
      <w:ind w:left="420" w:leftChars="200"/>
    </w:pPr>
  </w:style>
  <w:style w:type="paragraph" w:customStyle="1" w:styleId="23">
    <w:name w:val="目录 31"/>
    <w:basedOn w:val="1"/>
    <w:next w:val="1"/>
    <w:autoRedefine/>
    <w:unhideWhenUsed/>
    <w:qFormat/>
    <w:uiPriority w:val="39"/>
    <w:pPr>
      <w:ind w:left="840" w:leftChars="400"/>
    </w:pPr>
  </w:style>
  <w:style w:type="character" w:customStyle="1" w:styleId="24">
    <w:name w:val="标题 字符"/>
    <w:basedOn w:val="14"/>
    <w:link w:val="12"/>
    <w:autoRedefine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paragraph" w:customStyle="1" w:styleId="25">
    <w:name w:val="TOC 标题1"/>
    <w:basedOn w:val="2"/>
    <w:next w:val="1"/>
    <w:autoRedefine/>
    <w:unhideWhenUsed/>
    <w:qFormat/>
    <w:uiPriority w:val="39"/>
    <w:p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26">
    <w:name w:val="批注框文本 字符"/>
    <w:basedOn w:val="14"/>
    <w:link w:val="7"/>
    <w:autoRedefine/>
    <w:semiHidden/>
    <w:qFormat/>
    <w:uiPriority w:val="99"/>
    <w:rPr>
      <w:sz w:val="18"/>
      <w:szCs w:val="18"/>
    </w:rPr>
  </w:style>
  <w:style w:type="paragraph" w:styleId="27">
    <w:name w:val="List Paragraph"/>
    <w:basedOn w:val="1"/>
    <w:autoRedefine/>
    <w:qFormat/>
    <w:uiPriority w:val="34"/>
    <w:pPr>
      <w:ind w:firstLine="420"/>
    </w:pPr>
  </w:style>
  <w:style w:type="character" w:customStyle="1" w:styleId="28">
    <w:name w:val="fontstyle01"/>
    <w:basedOn w:val="14"/>
    <w:autoRedefine/>
    <w:qFormat/>
    <w:uiPriority w:val="0"/>
    <w:rPr>
      <w:rFonts w:hint="eastAsia" w:ascii="黑体" w:hAnsi="黑体" w:eastAsia="黑体"/>
      <w:color w:val="000000"/>
      <w:sz w:val="22"/>
      <w:szCs w:val="22"/>
    </w:rPr>
  </w:style>
  <w:style w:type="character" w:customStyle="1" w:styleId="29">
    <w:name w:val="fontstyle21"/>
    <w:basedOn w:val="14"/>
    <w:autoRedefine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character" w:customStyle="1" w:styleId="30">
    <w:name w:val="fontstyle31"/>
    <w:basedOn w:val="14"/>
    <w:autoRedefine/>
    <w:qFormat/>
    <w:uiPriority w:val="0"/>
    <w:rPr>
      <w:rFonts w:hint="default" w:ascii="TimesNewRoman" w:hAnsi="TimesNewRoman"/>
      <w:color w:val="000000"/>
      <w:sz w:val="22"/>
      <w:szCs w:val="22"/>
    </w:rPr>
  </w:style>
  <w:style w:type="character" w:customStyle="1" w:styleId="31">
    <w:name w:val="fontstyle41"/>
    <w:basedOn w:val="14"/>
    <w:autoRedefine/>
    <w:qFormat/>
    <w:uiPriority w:val="0"/>
    <w:rPr>
      <w:rFonts w:hint="default" w:ascii="2" w:hAnsi="2"/>
      <w:color w:val="000000"/>
      <w:sz w:val="22"/>
      <w:szCs w:val="22"/>
    </w:rPr>
  </w:style>
  <w:style w:type="character" w:customStyle="1" w:styleId="32">
    <w:name w:val="fontstyle51"/>
    <w:basedOn w:val="14"/>
    <w:autoRedefine/>
    <w:qFormat/>
    <w:uiPriority w:val="0"/>
    <w:rPr>
      <w:rFonts w:hint="default" w:ascii="TimesNewRoman" w:hAnsi="TimesNewRoman"/>
      <w:b/>
      <w:bCs/>
      <w:color w:val="000000"/>
      <w:sz w:val="22"/>
      <w:szCs w:val="22"/>
    </w:rPr>
  </w:style>
  <w:style w:type="paragraph" w:customStyle="1" w:styleId="33">
    <w:name w:val="TOC Heading"/>
    <w:basedOn w:val="2"/>
    <w:next w:val="1"/>
    <w:autoRedefine/>
    <w:semiHidden/>
    <w:unhideWhenUsed/>
    <w:qFormat/>
    <w:uiPriority w:val="39"/>
    <w:p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