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{{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会议主题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}}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</w:t>
      </w:r>
      <w:r>
        <w:rPr>
          <w:rFonts w:ascii="Times New Roman" w:hAnsi="Times New Roman" w:eastAsia="仿宋"/>
          <w:sz w:val="32"/>
          <w:szCs w:val="32"/>
          <w:b/>
          <w:bCs/>
        </w:rPr>
        <w:t xml:space="preserve">项目进度</w:t>
      </w:r>
      <w:r>
        <w:rPr>
          <w:rFonts w:ascii="Times New Roman" w:hAnsi="Times New Roman" w:eastAsia="仿宋"/>
          <w:sz w:val="32"/>
          <w:szCs w:val="32"/>
        </w:rPr>
        <w:t xml:space="preserve">和</w:t>
      </w:r>
      <w:r>
        <w:rPr>
          <w:rFonts w:ascii="Times New Roman" w:hAnsi="Times New Roman" w:eastAsia="仿宋"/>
          <w:sz w:val="32"/>
          <w:szCs w:val="32"/>
          <w:i/>
          <w:iCs/>
        </w:rPr>
        <w:t xml:space="preserve">预算审批</w:t>
      </w:r>
      <w:r>
        <w:rPr>
          <w:rFonts w:ascii="Times New Roman" w:hAnsi="Times New Roman" w:eastAsia="仿宋"/>
          <w:sz w:val="32"/>
          <w:szCs w:val="32"/>
        </w:rPr>
        <w:t xml:space="preserve">等多个重要事项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汇报了新版本发布准备情况。需求评审已完成，开发工作量预估约三百人天，测试用例覆盖率达到百分之九十五。产品团队深入调研了二十家重点客户，收集需求建议一百五十余条。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用户文档编写完成，包含操作手册与视频教程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数据分析体系完善，建立三大分析模型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客户服务部优化服务体系，缩短响应时间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产品部需协调开发、测试、设计团队，确保新版本按时交付。重点关注功能完整性验证、兼容性测试、性能基准测试、安全合规审查四个方面。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：竞品加速迭代可能蚕食市场份额，需保持创新节奏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六、专项议题讨论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第二阶段：建设数据中台，统一数据采集与服务能力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战略客户：配备专属客户成功经理，七乘二十四小时技术支持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代码质量：完成核心模块代码重构，单元测试覆盖率百分之八十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十、附件清单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十一、出席人员与会议议程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十二、关键时间节点与责任矩阵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十三、质量标准与验收规范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参会人员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会议地点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主持人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备注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>{{</w:t>
            </w:r>
            <w:r>
              <w:t>会议时间</w:t>
            </w:r>
            <w:r>
              <w:t>}}</w:t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