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Unsaturation Drives ToxT Fatty-Acid-Pocket Engagement: Microalgal Lipids as Antivirulence Agents Against Vibrio cholerae — A Docking and Molecular Dynamics Study</w:t>
      </w:r>
    </w:p>
    <w:p>
      <w:pPr>
        <w:spacing w:after="240"/>
        <w:jc w:val="center"/>
      </w:pPr>
      <w:r>
        <w:rPr>
          <w:i/>
          <w:iCs/>
          <w:sz w:val="18"/>
          <w:szCs w:val="18"/>
        </w:rPr>
        <w:t xml:space="preserve">Strain designations: CV = Chlorella variabilis (ATCC PTA-12198). CCM = Chlorococcum sp. -- no culture-collection accession number is available for this isolate. Full experimental/GC-MS methodology is given in Section 2.1.</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 A preliminary AlphaFold3 ToxT-DNA model, presented in the Supplementary Information, is consistent with (but does not on its own establish) an allosteric route from pocket occupancy to loss of DNA binding.</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and MM-GBSA to (i) test whether the detected lipids engage ToxT, (ii) define structural determinants, (iii) resolve the bound form and protonation state, and (iv) establish specificity; a supplementary AlphaFold3 ToxT-DNA model is presented as an exploratory check on (v) a structural mechanism linking pocket occupancy to transcriptional inhibition.</w:t>
      </w:r>
    </w:p>
    <w:p>
      <w:pPr>
        <w:pStyle w:val="Heading1"/>
      </w:pPr>
      <w:r>
        <w:t xml:space="preserve">2. Materials and Methods</w:t>
      </w:r>
    </w:p>
    <w:p>
      <w:pPr>
        <w:pStyle w:val="Heading2"/>
      </w:pPr>
      <w:r>
        <w:t xml:space="preserve">2.1 Lipid source, strains and GC-MS identification</w:t>
      </w:r>
    </w:p>
    <w:p>
      <w:pPr>
        <w:spacing w:after="120" w:line="276"/>
        <w:jc w:val="both"/>
      </w:pPr>
      <w:r>
        <w:t xml:space="preserve">Lipid extracts were obtained from the green microalgae Chlorella variabilis (CV; ATCC PTA-12198) and Chlorococcum sp. (CCM; no culture-collection accession number is available for this isolate), as described previously (Jaiswal et al., 2025). GC-MS analysis followed previously published methodology with slight modifications (Kumaran et al., 2023). Lipid extracts were analyzed on a Shimadzu HS-20 headspace sampler coupled to a GC/MS-TQ8040, using a ZB-5 MSi column (30 m length, 0.25 um internal diameter, 0.5 um film thickness) with helium as carrier gas. Samples were injected at 300 C in split mode. The oven programme held 40 C for 3 min, ramped to 230 C at 10 C/min, then to 300 C at 20 C/min and held for 15 min. The MS ion-source temperature was 330 C, the interface temperature 300 C, and the solvent cut time 4 min. The Supelco 37 F.A.M.E. Mix (Sigma-Aldrich) was used as the reference standard. Lipids, acids, alcohols and some unidentified components were detected in both CV and CCM extracts (chromatograms in Jaiswal et al., 2025, Figures S4-S6), with a subset of peaks -- including cis-10-heptadecenoic acid -- common to both organisms, and others organism-specific (Jaiswal et al., 2025, Table 2; the exclusive-to-one-organism listing for cis-10-heptadecenoic acid in that prior report was an error, corrected here). The 22-lipid docking panel used in this study (Section 2.3) was assigned from these organism-specific and shared GC-MS identifications; Tables 1/2 already list cis-10-heptadecenoic acid under both organisms, consistent with its shared status.</w:t>
      </w:r>
    </w:p>
    <w:p>
      <w:pPr>
        <w:pStyle w:val="Heading2"/>
      </w:pPr>
      <w:r>
        <w:t xml:space="preserve">2.2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2.3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2.4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2.5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2.6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2.7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2.8 ToxT-DNA modelling (Supplementary Information)</w:t>
      </w:r>
    </w:p>
    <w:p>
      <w:pPr>
        <w:spacing w:after="120" w:line="276"/>
        <w:jc w:val="both"/>
      </w:pPr>
      <w:r>
        <w:t xml:space="preserve">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 Given the low interface confidence of this model, it is reported in the Supplementary Information as an exploratory check rather than a main-text result.</w:t>
      </w:r>
    </w:p>
    <w:p>
      <w:pPr>
        <w:pStyle w:val="Heading2"/>
      </w:pPr>
      <w:r>
        <w:t xml:space="preserve">2.9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(Supplementary Section S.13)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the five residues that contact DNA in the AlphaFold3 model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therefore supports a modest, protein-wide stabilisation upon ligand binding - consistent with, but not on its own sufficient to establish, the domain-specific allosteric coupling proposed from the supplementary ToxT-DNA model (Supplementary Section S.13); we present it as a qualified, not confirmatory, line of support.</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Figure S18)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spacing w:after="120" w:line="276"/>
        <w:jc w:val="both"/>
      </w:pPr>
      <w:r>
        <w:t xml:space="preserve">A preliminary AlphaFold3 model of the ToxT-DNA complex is presented in the Supplementary Information (Section S.13, Figure S23) as an exploratory structural check: the DNA contacted the C-terminal helix-turn-helix domain, spatially separate from the N-terminal fatty-acid pocket, consistent with an allosteric rather than steric mechanism - but the protein-DNA interface confidence was low (ipTM 0.31), so this is not presented as an established result.</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so this MD-based evidence is consistent with, but does not on its own establish, the domain-specific allosteric coupling proposed from the supplementary ToxT-DNA model.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The AlphaFold3 ToxT-DNA model (Supplementary Information, Section S.13, Figure S23; not a main-text result) has a low-confidence interface and used a consensus toxbox.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Code, inputs and small outputs are on GitHub (https://github.com/MrsSwetaJaiswal/ToxT-algal-lipid-docking, v1.0.0), archived on Zenodo, DOI: 10.5281/zenodo.21778158 (https://doi.org/10.5281/zenodo.21778158); full molecular-dynamics trajectories, serialized systems and simulation topologies are archived separately on Zenodo, DOI: 10.5281/zenodo.21767402 (https://doi.org/10.5281/zenodo.21767402).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2.9).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Woodbrey AK, Onyango EO, Pellegrini M, Kovacikova G, Taylor RK, Gribble GW, Kull FJ. A new class of inhibitors of the AraC family virulence regulator Vibrio cholerae ToxT. Sci Rep 2017;7:45011. doi:10.1038/srep45011.</w:t>
      </w:r>
    </w:p>
    <w:p>
      <w:pPr>
        <w:spacing w:after="80"/>
      </w:pPr>
      <w:r>
        <w:rPr>
          <w:sz w:val="19"/>
          <w:szCs w:val="19"/>
        </w:rPr>
        <w:t xml:space="preserve">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pPr>
        <w:spacing w:after="80"/>
      </w:pPr>
      <w:r>
        <w:rPr>
          <w:sz w:val="19"/>
          <w:szCs w:val="19"/>
        </w:rPr>
        <w:t xml:space="preserve">8. Perveen S, Chaudhary HS. In silico screening of antibacterial compounds from herbal sources against Vibrio cholerae. Pharmacogn Mag 2015;11(Suppl 4):S550-S555. doi:10.4103/0973-1296.172960.</w:t>
      </w:r>
    </w:p>
    <w:p>
      <w:pPr>
        <w:spacing w:after="80"/>
      </w:pPr>
      <w:r>
        <w:rPr>
          <w:sz w:val="19"/>
          <w:szCs w:val="19"/>
        </w:rPr>
        <w:t xml:space="preserve">9. Kundu S, Das S, Maitra P, Halder P, Koley H, Mukhopadhyay AK, Miyoshi S, Dutta S, Chatterjee NS, Bhattacharya S. Sodium butyrate inhibits the expression of virulence factors in Vibrio cholerae by targeting ToxT protein. mSphere 2025;10(5):e00824-24. doi:10.1128/msphere.00824-24.</w:t>
      </w:r>
    </w:p>
    <w:p>
      <w:pPr>
        <w:spacing w:after="80"/>
      </w:pPr>
      <w:r>
        <w:rPr>
          <w:sz w:val="19"/>
          <w:szCs w:val="19"/>
        </w:rPr>
        <w:t xml:space="preserve">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11. Kumaran M, Palanisamy KM, Bhuyar P, Maniam GP, Rahim MHA, Govindan N. Agriculture of microalgae Chlorella vulgaris for polyunsaturated fatty acids (PUFAs) production employing palm oil mill effluents (POME) for future food, wastewater, and energy nexus. Energy Nexus 2023;9:100169. doi:10.1016/j.nexus.2022.100169.</w:t>
      </w:r>
    </w:p>
    <w:p>
      <w:pPr>
        <w:spacing w:after="80"/>
      </w:pPr>
      <w:r>
        <w:rPr>
          <w:sz w:val="19"/>
          <w:szCs w:val="19"/>
        </w:rPr>
        <w:t xml:space="preserve">12. Trott O, Olson AJ. AutoDock Vina. J Comput Chem 2010;31:455-461.</w:t>
      </w:r>
    </w:p>
    <w:p>
      <w:pPr>
        <w:spacing w:after="80"/>
      </w:pPr>
      <w:r>
        <w:rPr>
          <w:sz w:val="19"/>
          <w:szCs w:val="19"/>
        </w:rPr>
        <w:t xml:space="preserve">13. Eberhardt J, Santos-Martins D, Tillack AF, Forli S. AutoDock Vina 1.2.0. J Chem Inf Model 2021;61:3891-3898.</w:t>
      </w:r>
    </w:p>
    <w:p>
      <w:pPr>
        <w:spacing w:after="80"/>
      </w:pPr>
      <w:r>
        <w:rPr>
          <w:sz w:val="19"/>
          <w:szCs w:val="19"/>
        </w:rPr>
        <w:t xml:space="preserve">14. Quiroga R, Villarreal MA. Vinardo scoring function. PLoS ONE 2016;11:e0155183.</w:t>
      </w:r>
    </w:p>
    <w:p>
      <w:pPr>
        <w:spacing w:after="80"/>
      </w:pPr>
      <w:r>
        <w:rPr>
          <w:sz w:val="19"/>
          <w:szCs w:val="19"/>
        </w:rPr>
        <w:t xml:space="preserve">15. Eastman P, et al. OpenMM 8. J Phys Chem B 2024;128:109-116.</w:t>
      </w:r>
    </w:p>
    <w:p>
      <w:pPr>
        <w:spacing w:after="80"/>
      </w:pPr>
      <w:r>
        <w:rPr>
          <w:sz w:val="19"/>
          <w:szCs w:val="19"/>
        </w:rPr>
        <w:t xml:space="preserve">16. Boothroyd S, et al. Open Force Field 2.0.0 (Sage). J Chem Theory Comput 2023;19:3251-3275.</w:t>
      </w:r>
    </w:p>
    <w:p>
      <w:pPr>
        <w:spacing w:after="80"/>
      </w:pPr>
      <w:r>
        <w:rPr>
          <w:sz w:val="19"/>
          <w:szCs w:val="19"/>
        </w:rPr>
        <w:t xml:space="preserve">17. Open Force Field Initiative. OpenFF NAGL: graph neural network partial charge assignment. https://github.com/openforcefield/openff-nagl (software; no dedicated peer-reviewed publication identified as of this draft).</w:t>
      </w:r>
    </w:p>
    <w:p>
      <w:pPr>
        <w:spacing w:after="80"/>
      </w:pPr>
      <w:r>
        <w:rPr>
          <w:sz w:val="19"/>
          <w:szCs w:val="19"/>
        </w:rPr>
        <w:t xml:space="preserve">18. Abramson J, et al. Accurate structure prediction of biomolecular interactions with AlphaFold3. Nature 2024;630:493-500.</w:t>
      </w:r>
    </w:p>
    <w:p>
      <w:pPr>
        <w:spacing w:after="80"/>
      </w:pPr>
      <w:r>
        <w:rPr>
          <w:sz w:val="19"/>
          <w:szCs w:val="19"/>
        </w:rPr>
        <w:t xml:space="preserve">19. McGibbon RT, et al. MDTraj: analysis of molecular dynamics trajectories. Biophys J 2015;109:1528-1532.</w:t>
      </w:r>
    </w:p>
    <w:p>
      <w:pPr>
        <w:spacing w:after="80"/>
      </w:pPr>
      <w:r>
        <w:rPr>
          <w:sz w:val="19"/>
          <w:szCs w:val="19"/>
        </w:rPr>
        <w:t xml:space="preserve">20. Kim S, et al. PubChem 2023 update. Nucleic Acids Res 2023;51:D1373-D1380.</w:t>
      </w:r>
    </w:p>
    <w:p>
      <w:pPr>
        <w:spacing w:after="80"/>
      </w:pPr>
      <w:r>
        <w:rPr>
          <w:sz w:val="19"/>
          <w:szCs w:val="19"/>
        </w:rPr>
        <w:t xml:space="preserve">21. Landrum G, et al. RDKit: Open-source cheminformatics. https://www.rdkit.org.</w:t>
      </w:r>
    </w:p>
    <w:p>
      <w:pPr>
        <w:spacing w:after="80"/>
      </w:pPr>
      <w:r>
        <w:rPr>
          <w:sz w:val="19"/>
          <w:szCs w:val="19"/>
        </w:rPr>
        <w:t xml:space="preserve">22. (2026-08-03: all previously-bracketed placeholder references resolved via web search. Two needed a year correction: the herbal-screen reference is 2015, not 2016; the sodium-butyrate reference is 2025, not 2024. The OpenFF-NAGL reference is software-only; verify before submission.)</w:t>
      </w:r>
    </w:p>
    <w:p>
      <w:pPr>
        <w:spacing w:after="80"/>
      </w:pPr>
      <w:r>
        <w:rPr>
          <w:sz w:val="19"/>
          <w:szCs w:val="19"/>
        </w:rPr>
        <w:t xml:space="preserve">23. (2026-08-25: author-supplied strain designations and GC-MS methodology added (Section 2.1) -- CV accession (ATCC PTA-12198) and the full GC-MS protocol are now in the manuscript. CCM confirmed by the authors to have no culture-collection accession number (genuinely none available, not a missing placeholder). The apparent cis-10-heptadecenoic acid organism-assignment inconsistency flagged the same day was confirmed by the authors to be an error in the original Jaiswal et al. (2025) report; the compound is shared between CV and CCM, consistent with Tables 1/2 here.)</w:t>
      </w:r>
    </w:p>
    <w:p>
      <w:pPr>
        <w:spacing w:after="80"/>
      </w:pPr>
      <w:r>
        <w:rPr>
          <w:sz w:val="19"/>
          <w:szCs w:val="19"/>
        </w:rPr>
        <w:t xml:space="preserve">24. (2026-08-26: full citation for ref 11 (Kumaran et al., 2023) supplied by the authors and filled into the reference list above. No open reference or author-supplied-content items remain in this manuscript.)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2026-08-26T07:36:03.860Z</dcterms:created>
  <dcterms:modified xsi:type="dcterms:W3CDTF">2026-08-26T07:36:03.861Z</dcterms:modified>
</cp:coreProperties>
</file>

<file path=docProps/custom.xml><?xml version="1.0" encoding="utf-8"?>
<Properties xmlns="http://schemas.openxmlformats.org/officeDocument/2006/custom-properties" xmlns:vt="http://schemas.openxmlformats.org/officeDocument/2006/docPropsVTypes"/>
</file>