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Unsaturation Drives ToxT Fatty-Acid-Pocket Engagement: Microalgal Lipids as Antivirulence Agents Against Vibrio cholerae — A Docking and Molecular Dynamics Study</w:t>
      </w:r>
    </w:p>
    <w:p>
      <w:pPr>
        <w:spacing w:after="240"/>
        <w:jc w:val="center"/>
      </w:pPr>
      <w:r>
        <w:rPr>
          <w:i/>
          <w:iCs/>
          <w:sz w:val="18"/>
          <w:szCs w:val="18"/>
        </w:rPr>
        <w:t xml:space="preserve">Strain designations: CV = Chlorella variabilis (ATCC PTA-12198). CCM = Chlorococcum sp. -- no culture-collection accession number is available for this isolate. Full experimental/GC-MS methodology is given in Section 2.1.</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and MM-GBSA to (i) test whether the detected lipids engage ToxT, (ii) define structural determinants, (iii) resolve the bound form and protonation state, and (iv) establish specificity.</w:t>
      </w:r>
    </w:p>
    <w:p>
      <w:pPr>
        <w:pStyle w:val="Heading1"/>
      </w:pPr>
      <w:r>
        <w:t xml:space="preserve">2. Materials and Methods</w:t>
      </w:r>
    </w:p>
    <w:p>
      <w:pPr>
        <w:pStyle w:val="Heading2"/>
      </w:pPr>
      <w:r>
        <w:t xml:space="preserve">2.1 Lipid source, strains and GC-MS identification</w:t>
      </w:r>
    </w:p>
    <w:p>
      <w:pPr>
        <w:spacing w:after="120" w:line="276"/>
        <w:jc w:val="both"/>
      </w:pPr>
      <w:r>
        <w:t xml:space="preserve">Lipid extracts were obtained from the green microalgae Chlorella variabilis (CV; ATCC PTA-12198) and Chlorococcum sp. (CCM; no culture-collection accession number is available for this isolate), as described previously (Jaiswal et al., 2025). GC-MS analysis followed previously published methodology with slight modifications (Kumaran et al., 2023). Lipid extracts were analyzed on a Shimadzu HS-20 headspace sampler coupled to a GC/MS-TQ8040, using a ZB-5 MSi column (30 m length, 0.25 um internal diameter, 0.5 um film thickness) with helium as carrier gas. Samples were injected at 300 C in split mode. The oven programme held 40 C for 3 min, ramped to 230 C at 10 C/min, then to 300 C at 20 C/min and held for 15 min. The MS ion-source temperature was 330 C, the interface temperature 300 C, and the solvent cut time 4 min. The Supelco 37 F.A.M.E. Mix (Sigma-Aldrich) was used as the reference standard. Lipids, acids, alcohols and some unidentified components were detected in both CV and CCM extracts (chromatograms in Jaiswal et al., 2025, Figures S4-S6), with a subset of peaks -- including cis-10-heptadecenoic acid -- common to both organisms, and others organism-specific (Jaiswal et al., 2025, Table 2; the exclusive-to-one-organism listing for cis-10-heptadecenoic acid in that prior report was an error, corrected here). The 22-lipid docking panel used in this study (Section 2.3) was assigned from these organism-specific and shared GC-MS identifications; Tables 1/2 already list cis-10-heptadecenoic acid under both organisms, consistent with its shared status.</w:t>
      </w:r>
    </w:p>
    <w:p>
      <w:pPr>
        <w:pStyle w:val="Heading2"/>
      </w:pPr>
      <w:r>
        <w:t xml:space="preserve">2.2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2.3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2.4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2.5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2.6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2.7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2.8 ToxT-DNA structural checks (Supplementary Information)</w:t>
      </w:r>
    </w:p>
    <w:p>
      <w:pPr>
        <w:spacing w:after="120" w:line="276"/>
        <w:jc w:val="both"/>
      </w:pPr>
      <w:r>
        <w:t xml:space="preserve">A ToxT-DNA complex was predicted with the AlphaFold3 server using the full-length ToxT sequence and the native El Tor ctxAB promoter duplex (36 bp, positions -76 to -41; transcribed and verified from Dittmer &amp; Withey, 2012 -- see Supplementary Section S.13 for the sequence and its verification). The top-ranked model (of five) was analysed (confidence: pTM, interface ipTM); the fatty-acid-bound crystal (3GBG) was superposed onto the modelled ToxT (Ca) to place the native lipid, protein-DNA contacts were defined at 5 A, and interactions were additionally profiled with PLIP 3.0.1. Given the modest interface confidence of the model (ipTM 0.48), it is reported in the Supplementary Information as an exploratory structural check rather than a main-text result.</w:t>
      </w:r>
    </w:p>
    <w:p>
      <w:pPr>
        <w:pStyle w:val="Heading2"/>
      </w:pPr>
      <w:r>
        <w:t xml:space="preserve">2.9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(Supplementary Section S.13)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five residues identified as DNA-proximal in exploratory ToxT-DNA modelling (Supplementary Section S.13)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indicates a modest, protein-wide stabilisation upon ligand binding, without disproportionate rigidification of any single domain.</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Figure S18)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spacing w:after="120" w:line="276"/>
        <w:jc w:val="both"/>
      </w:pPr>
      <w:r>
        <w:t xml:space="preserve">An exploratory AlphaFold3 model of ToxT bound to the native El Tor ctxAB promoter is presented in the Supplementary Information (Section S.13) as a structural check on the known domain architecture, not as a main-text result.</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An AlphaFold3 model of ToxT bound to the native El Tor ctxAB promoter (Supplementary Information, Section S.13; not a main-text result) places all 26 DNA-contacting residues in the C-terminal domain, none in the N-terminal fatty-acid pocket, but the interface confidence is modest (ipTM 0.48) and the duplex is modelled as an isolated 36-bp fragment without flanking genomic context, RNA polymerase or H-NS.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v1.0.0), archived on Zenodo, DOI: 10.5281/zenodo.21778158 (https://doi.org/10.5281/zenodo.21778158); full molecular-dynamics trajectories, serialized systems and simulation topologies are archived separately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2.9).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Kumaran M, Palanisamy KM, Bhuyar P, Maniam GP, Rahim MHA, Govindan N. Agriculture of microalgae Chlorella vulgaris for polyunsaturated fatty acids (PUFAs) production employing palm oil mill effluents (POME) for future food, wastewater, and energy nexus. Energy Nexus 2023;9:100169. doi:10.1016/j.nexus.2022.100169.</w:t>
      </w:r>
    </w:p>
    <w:p>
      <w:pPr>
        <w:spacing w:after="80"/>
      </w:pPr>
      <w:r>
        <w:rPr>
          <w:sz w:val="19"/>
          <w:szCs w:val="19"/>
        </w:rPr>
        <w:t xml:space="preserve">12. Trott O, Olson AJ. AutoDock Vina. J Comput Chem 2010;31:455-461.</w:t>
      </w:r>
    </w:p>
    <w:p>
      <w:pPr>
        <w:spacing w:after="80"/>
      </w:pPr>
      <w:r>
        <w:rPr>
          <w:sz w:val="19"/>
          <w:szCs w:val="19"/>
        </w:rPr>
        <w:t xml:space="preserve">13. Eberhardt J, Santos-Martins D, Tillack AF, Forli S. AutoDock Vina 1.2.0. J Chem Inf Model 2021;61:3891-3898.</w:t>
      </w:r>
    </w:p>
    <w:p>
      <w:pPr>
        <w:spacing w:after="80"/>
      </w:pPr>
      <w:r>
        <w:rPr>
          <w:sz w:val="19"/>
          <w:szCs w:val="19"/>
        </w:rPr>
        <w:t xml:space="preserve">14. Quiroga R, Villarreal MA. Vinardo scoring function. PLoS ONE 2016;11:e0155183.</w:t>
      </w:r>
    </w:p>
    <w:p>
      <w:pPr>
        <w:spacing w:after="80"/>
      </w:pPr>
      <w:r>
        <w:rPr>
          <w:sz w:val="19"/>
          <w:szCs w:val="19"/>
        </w:rPr>
        <w:t xml:space="preserve">15. Eastman P, et al. OpenMM 8. J Phys Chem B 2024;128:109-116.</w:t>
      </w:r>
    </w:p>
    <w:p>
      <w:pPr>
        <w:spacing w:after="80"/>
      </w:pPr>
      <w:r>
        <w:rPr>
          <w:sz w:val="19"/>
          <w:szCs w:val="19"/>
        </w:rPr>
        <w:t xml:space="preserve">16. Boothroyd S, et al. Open Force Field 2.0.0 (Sage). J Chem Theory Comput 2023;19:3251-3275.</w:t>
      </w:r>
    </w:p>
    <w:p>
      <w:pPr>
        <w:spacing w:after="80"/>
      </w:pPr>
      <w:r>
        <w:rPr>
          <w:sz w:val="19"/>
          <w:szCs w:val="19"/>
        </w:rPr>
        <w:t xml:space="preserve">17.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18. Abramson J, et al. Accurate structure prediction of biomolecular interactions with AlphaFold3. Nature 2024;630:493-500.</w:t>
      </w:r>
    </w:p>
    <w:p>
      <w:pPr>
        <w:spacing w:after="80"/>
      </w:pPr>
      <w:r>
        <w:rPr>
          <w:sz w:val="19"/>
          <w:szCs w:val="19"/>
        </w:rPr>
        <w:t xml:space="preserve">19. McGibbon RT, et al. MDTraj: analysis of molecular dynamics trajectories. Biophys J 2015;109:1528-1532.</w:t>
      </w:r>
    </w:p>
    <w:p>
      <w:pPr>
        <w:spacing w:after="80"/>
      </w:pPr>
      <w:r>
        <w:rPr>
          <w:sz w:val="19"/>
          <w:szCs w:val="19"/>
        </w:rPr>
        <w:t xml:space="preserve">20. Kim S, et al. PubChem 2023 update. Nucleic Acids Res 2023;51:D1373-D1380.</w:t>
      </w:r>
    </w:p>
    <w:p>
      <w:pPr>
        <w:spacing w:after="80"/>
      </w:pPr>
      <w:r>
        <w:rPr>
          <w:sz w:val="19"/>
          <w:szCs w:val="19"/>
        </w:rPr>
        <w:t xml:space="preserve">21. Landrum G, et al. RDKit: Open-source cheminformatics. https://www.rdkit.org.</w:t>
      </w:r>
    </w:p>
    <w:p>
      <w:pPr>
        <w:spacing w:after="80"/>
      </w:pPr>
      <w:r>
        <w:rPr>
          <w:sz w:val="19"/>
          <w:szCs w:val="19"/>
        </w:rPr>
        <w:t xml:space="preserve">22. (2026-08-03: all previously-bracketed placeholder references resolved via web search. Two needed a year correction: the herbal-screen reference is 2015, not 2016; the sodium-butyrate reference is 2025, not 2024. The OpenFF-NAGL reference is software-only; verify before submission.)</w:t>
      </w:r>
    </w:p>
    <w:p>
      <w:pPr>
        <w:spacing w:after="80"/>
      </w:pPr>
      <w:r>
        <w:rPr>
          <w:sz w:val="19"/>
          <w:szCs w:val="19"/>
        </w:rPr>
        <w:t xml:space="preserve">23. (2026-08-25: author-supplied strain designations and GC-MS methodology added (Section 2.1) -- CV accession (ATCC PTA-12198) and the full GC-MS protocol are now in the manuscript. CCM confirmed by the authors to have no culture-collection accession number (genuinely none available, not a missing placeholder). The apparent cis-10-heptadecenoic acid organism-assignment inconsistency flagged the same day was confirmed by the authors to be an error in the original Jaiswal et al. (2025) report; the compound is shared between CV and CCM, consistent with Tables 1/2 here.)</w:t>
      </w:r>
    </w:p>
    <w:p>
      <w:pPr>
        <w:spacing w:after="80"/>
      </w:pPr>
      <w:r>
        <w:rPr>
          <w:sz w:val="19"/>
          <w:szCs w:val="19"/>
        </w:rPr>
        <w:t xml:space="preserve">24. (2026-08-26: full citation for ref 11 (Kumaran et al., 2023) supplied by the authors and filled into the reference list above. No open reference or author-supplied-content items remain in this manuscript.)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2026-08-27T07:44:23.961Z</dcterms:created>
  <dcterms:modified xsi:type="dcterms:W3CDTF">2026-08-27T07:44:23.962Z</dcterms:modified>
</cp:coreProperties>
</file>

<file path=docProps/custom.xml><?xml version="1.0" encoding="utf-8"?>
<Properties xmlns="http://schemas.openxmlformats.org/officeDocument/2006/custom-properties" xmlns:vt="http://schemas.openxmlformats.org/officeDocument/2006/docPropsVTypes"/>
</file>