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Locking Down ToxT: Microalgal Lipids as Allosteric Antivirulence Agents Against Vibrio cholerae — A Docking and Molecular Dynamics Study</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 A modelled ToxT-DNA complex (AlphaFold3; confident fold, low-confidence DNA interface) placed the DNA on the C-terminal helix-turn-helix domain, distinct from the N-terminal fatty-acid pocket, suggesting an allosteric rather than steric basis for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(Section 3.13)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ToxT-DNA model (Section 3.13); we present it as a qualified, not confirmatory, line of support.</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3.13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coupling proposed from the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The AlphaFold3 ToxT-DNA model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2.8).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Trott O, Olson AJ. AutoDock Vina. J Comput Chem 2010;31:455-461.</w:t>
      </w:r>
    </w:p>
    <w:p>
      <w:pPr>
        <w:spacing w:after="80"/>
      </w:pPr>
      <w:r>
        <w:rPr>
          <w:sz w:val="19"/>
          <w:szCs w:val="19"/>
        </w:rPr>
        <w:t xml:space="preserve">12. Eberhardt J, Santos-Martins D, Tillack AF, Forli S. AutoDock Vina 1.2.0. J Chem Inf Model 2021;61:3891-3898.</w:t>
      </w:r>
    </w:p>
    <w:p>
      <w:pPr>
        <w:spacing w:after="80"/>
      </w:pPr>
      <w:r>
        <w:rPr>
          <w:sz w:val="19"/>
          <w:szCs w:val="19"/>
        </w:rPr>
        <w:t xml:space="preserve">13. Quiroga R, Villarreal MA. Vinardo scoring function. PLoS ONE 2016;11:e0155183.</w:t>
      </w:r>
    </w:p>
    <w:p>
      <w:pPr>
        <w:spacing w:after="80"/>
      </w:pPr>
      <w:r>
        <w:rPr>
          <w:sz w:val="19"/>
          <w:szCs w:val="19"/>
        </w:rPr>
        <w:t xml:space="preserve">14. Eastman P, et al. OpenMM 8. J Phys Chem B 2024;128:109-116.</w:t>
      </w:r>
    </w:p>
    <w:p>
      <w:pPr>
        <w:spacing w:after="80"/>
      </w:pPr>
      <w:r>
        <w:rPr>
          <w:sz w:val="19"/>
          <w:szCs w:val="19"/>
        </w:rPr>
        <w:t xml:space="preserve">15. Boothroyd S, et al. Open Force Field 2.0.0 (Sage). J Chem Theory Comput 2023;19:3251-3275.</w:t>
      </w:r>
    </w:p>
    <w:p>
      <w:pPr>
        <w:spacing w:after="80"/>
      </w:pPr>
      <w:r>
        <w:rPr>
          <w:sz w:val="19"/>
          <w:szCs w:val="19"/>
        </w:rPr>
        <w:t xml:space="preserve">16.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17. Abramson J, et al. Accurate structure prediction of biomolecular interactions with AlphaFold3. Nature 2024;630:493-500.</w:t>
      </w:r>
    </w:p>
    <w:p>
      <w:pPr>
        <w:spacing w:after="80"/>
      </w:pPr>
      <w:r>
        <w:rPr>
          <w:sz w:val="19"/>
          <w:szCs w:val="19"/>
        </w:rPr>
        <w:t xml:space="preserve">18. McGibbon RT, et al. MDTraj: analysis of molecular dynamics trajectories. Biophys J 2015;109:1528-1532.</w:t>
      </w:r>
    </w:p>
    <w:p>
      <w:pPr>
        <w:spacing w:after="80"/>
      </w:pPr>
      <w:r>
        <w:rPr>
          <w:sz w:val="19"/>
          <w:szCs w:val="19"/>
        </w:rPr>
        <w:t xml:space="preserve">19. Kim S, et al. PubChem 2023 update. Nucleic Acids Res 2023;51:D1373-D1380.</w:t>
      </w:r>
    </w:p>
    <w:p>
      <w:pPr>
        <w:spacing w:after="80"/>
      </w:pPr>
      <w:r>
        <w:rPr>
          <w:sz w:val="19"/>
          <w:szCs w:val="19"/>
        </w:rPr>
        <w:t xml:space="preserve">20. Landrum G, et al. RDKit: Open-source cheminformatics. https://www.rdkit.org.</w:t>
      </w:r>
    </w:p>
    <w:p>
      <w:pPr>
        <w:spacing w:after="80"/>
      </w:pPr>
      <w:r>
        <w:rPr>
          <w:sz w:val="19"/>
          <w:szCs w:val="19"/>
        </w:rPr>
        <w:t xml:space="preserve">21. (2026-08-03: all previously-bracketed placeholder references resolved via web search. Two needed a year correction: the herbal-screen reference is 2015, not 2016; the sodium-butyrate reference is 2025, not 2024. The OpenFF-NAGL reference is software-only; verify before submission.)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image" Target="media/935eba0db5d04d985fd35e087bc9ca356ffda1b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2026-08-09T17:55:39.759Z</dcterms:created>
  <dcterms:modified xsi:type="dcterms:W3CDTF">2026-08-09T17:55:39.761Z</dcterms:modified>
</cp:coreProperties>
</file>

<file path=docProps/custom.xml><?xml version="1.0" encoding="utf-8"?>
<Properties xmlns="http://schemas.openxmlformats.org/officeDocument/2006/custom-properties" xmlns:vt="http://schemas.openxmlformats.org/officeDocument/2006/docPropsVTypes"/>
</file>