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Molecular docking and dynamics reveal microalgal lipids from Chlorella variabilis and Chlorococcum sp. as allosteric ligands of the Vibrio cholerae virulence regulator ToxT</w:t>
      </w:r>
    </w:p>
    <w:p>
      <w:pPr>
        <w:spacing w:after="240"/>
        <w:jc w:val="center"/>
      </w:pPr>
      <w:r>
        <w:rPr>
          <w:i/>
          <w:iCs/>
          <w:sz w:val="18"/>
          <w:szCs w:val="18"/>
        </w:rPr>
        <w:t xml:space="preserve">Working manuscript draft - computational (docking) component. Species names and experimental/GC-MS details are placeholders to be completed by the authors.</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within a narrow moderate-to-strong range (-6.8 to -8.8 kcal/mol; a ~2 kcal/mol spread within Vina's scoring uncertainty, so per-lipid rankings are trends). Binding strength correlated most strongly with degree of unsaturation (r = -0.87) and chain length (r = -0.70; these descriptors are collinear),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 Per-molecule affinities were indistinguishable between organisms (mean dG: CV -7.77, CCM -7.64 kcal/mol), suggesting any organism-level activity difference reflects extract composition and bioavailability rather than per-lipid binding strength - a hypothesis not tested here. Molecular-dynamics simulations (14 systems - three fatty acids, EPA, gamma-linolenic and palmitic, each in three chemical forms; the native ligand; two weak binders; the glucose decoy from two starting poses; and an apo baseline - each run in triplicate, n = 3 independent-seed 50 ns replicates per system, 42 trajectories total)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pose 17 A away) and bound weakly (-5.5 kcal/mol), whereas the fatty acids strongly selected it (8-15/15 poses). In MD the native ligand was retained; the decoy was retained only when artificially seeded in the pocket core, reflecting kinetic trapping in a buried cavity - underscoring that binding preference, not MD retention, discriminates cognate lipids from the decoy. MM-GBSA binding free energies, computed across n = 3 independent-seed replicates per system, corroborated this ranking: EPA was the strongest binder and glucose the least favourable of all tested ligands. A modelled ToxT-DNA complex (AlphaFold3; confident fold, low-confidence DNA interface) placed the DNA on the C-terminal helix-turn-helix domain, distinct from the N-terminal fatty-acid pocket, suggesting an allosteric rather than steric basis for inhibition.</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crude biomass of Chlorella variabilis (CV) and Chlorococcum sp. (CCM) suppress cholera-toxin (CT) production by a multidrug-resistant V. cholerae strain - up to 97.9% inhibition (CCM lipid extract) in vitro and reduced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(per-organism panels; native-ligand and blind-docking validation; consensus scoring; benchmarking against known inhibitors), all-atom MD with controls (n = 3 independent-seed replicates per system), MM-GBSA, and an AlphaFold3 ToxT-DNA model to (i) test whether the detected lipids engage ToxT, (ii) define structural determinants, (iii) resolve the bound form and protonation state, (iv) establish specificity, and (v) propose a structural mechanism linking pocket occupancy to transcriptional inhibition.</w:t>
      </w:r>
    </w:p>
    <w:p>
      <w:pPr>
        <w:pStyle w:val="Heading1"/>
      </w:pPr>
      <w:r>
        <w:t xml:space="preserve">2. Materials and Methods</w:t>
      </w:r>
    </w:p>
    <w:p>
      <w:pPr>
        <w:pStyle w:val="Heading2"/>
      </w:pPr>
      <w:r>
        <w:t xml:space="preserve">2.1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2.2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2.3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2.4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2.5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2.6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2.7 ToxT-DNA modelling</w:t>
      </w:r>
    </w:p>
    <w:p>
      <w:pPr>
        <w:spacing w:after="120" w:line="276"/>
        <w:jc w:val="both"/>
      </w:pPr>
      <w:r>
        <w:t xml:space="preserve">A ToxT-DNA complex was predicted with the AlphaFold3 server using the full-length ToxT sequence and a 34-bp duplex containing two direct-repeat toxbox consensus elements. The top-ranked model was analysed (confidence: pTM, interface ipTM); the fatty-acid-bound crystal (3GBG) was superposed onto the modelled ToxT (Ca) to place the native lipid, and protein-DNA contacts defined at 5 A.</w:t>
      </w:r>
    </w:p>
    <w:p>
      <w:pPr>
        <w:pStyle w:val="Heading2"/>
      </w:pPr>
      <w:r>
        <w:t xml:space="preserve">2.8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 Every system was subsequently run as n = 3 independent 50 ns replicates, distinct random seeds (rep 1 = original seed; r2 = seed x100; r3 = seed x200), across all 14 simulated systems (42 trajectories total); unless stated otherwise, values are reported as mean +/- SD across the three replicate means (between-replicate error), not per-frame SD. Figures and tables introduced before the replicate campaign completed show the rep-1 trajectory only, as noted in their captions.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 unsaturation is the strongest marginal association, not an isolated causal determinant. Consensus scoring (3.6) and MD (3.8) provide independent support.</w:t>
      </w:r>
    </w:p>
    <w:p>
      <w:pPr>
        <w:spacing w:after="120" w:line="276"/>
        <w:jc w:val="both"/>
      </w:pPr>
      <w:r>
        <w:t xml:space="preserve">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whereas saturated stearic engages none (Figure 12). The cis geometry thus favours binding not by increasing overall contact but by positioning the double-bond pi-systems against the aromatic cage. This effect is modest (~0.3-0.5 kcal/mol at fixed length, within scoring error) and, being a geometric-proximity argument, does not establish optimal stacking orientation; it is a structural rationale for the unsaturation trend, not a strong determinant.</w:t>
      </w:r>
    </w:p>
    <w:p>
      <w:pPr>
        <w:spacing w:after="120" w:line="276"/>
      </w:pPr>
      <w:r>
        <w:rPr>
          <w:b/>
          <w:bCs/>
          <w:sz w:val="19"/>
          <w:szCs w:val="19"/>
        </w:rPr>
        <w:t xml:space="preserve">Table 4b. Same-length (C18) series: unsaturation and alkene-pi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400"/>
        <w:gridCol w:w="2200"/>
        <w:gridCol w:w="1900"/>
        <w:gridCol w:w="11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C18:x</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C=C in pi-contact</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closest C=C-&gt;ring (A)</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alpha-linolenic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w:t>
            </w:r>
          </w:p>
        </w:tc>
      </w:tr>
    </w:tbl>
    <w:p>
      <w:pPr>
        <w:spacing w:after="60" w:before="120"/>
        <w:jc w:val="center"/>
      </w:pPr>
      <w:r>
        <w:drawing>
          <wp:inline distT="0" distB="0" distL="0" distR="0">
            <wp:extent cx="5943600" cy="2771775"/>
            <wp:effectExtent t="0" r="0" b="0" l="0"/>
            <wp:docPr id="1"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sz w:val="18"/>
          <w:szCs w:val="18"/>
        </w:rPr>
        <w:t xml:space="preserv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(rep-1 trajectory summarised below; all nine were subsequently also run in triplicate as part of the full n = 3 replicate campaign, Section 2.8).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systems, rep-1 trajectory shown; all nine were later also run in triplicate - see Figure 13/14 replicate analyses and Table 9 for the n = 3 MM-GBSA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rep-1 trajectory) for the nine head-group simulations - three fatty acids x three forms. All stay far below the 10 A unbound threshold." descr="Figure 7. Ligand distance from the pocket (mean over production, rep-1 trajectory) for the nine head-group simulations - three fatty acids x three forms. All stay far below the 10 A unbound threshold." title="Figure 7. Ligand distance from the pocket (mean over production, rep-1 trajectory)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rep-1 trajectory) for the nine head-group simulations - three fatty acids x three forms. All stay far below the 10 A unbound threshold.</w:t>
      </w:r>
    </w:p>
    <w:p>
      <w:pPr>
        <w:spacing w:after="120" w:line="276"/>
        <w:jc w:val="both"/>
      </w:pPr>
      <w:r>
        <w:t xml:space="preserve">To test whether ligand occupancy perturbs global backbone dynamics beyond the single-trajectory summary above, protein backbone RMSD was compared - mean +/- SD across n = 3 independent-seed replicates - for the three headline fatty acids (free-acid form) against the ligand-free apo simulation, also run in triplicate (Figure 13). All four systems equilibrate to a similar RMSD plateau within the first ~5 ns; from ~20 ns onward the apo replicates drift to a modestly higher plateau (production-window mean 2.12 +/- 0.33 A) than any of the three ligand-bound systems (EPA 1.82 +/- 0.22 A, gamma-linolenic 1.83 +/- 0.15 A, palmitic 1.79 +/- 0.42 A), consistent with a modest ligand-stabilising effect on the overall fold. To test this at residue resolution - and to ask specifically whether the distant C-terminal HTH DNA-binding domain (Section 3.13) is disproportionately rigidified, as an allosteric mechanism would predict - per-residue Ca RMSF was compared between the same apo and headline holo replicates (Figure 14).</w:t>
      </w:r>
    </w:p>
    <w:p>
      <w:pPr>
        <w:spacing w:after="60" w:before="120"/>
        <w:jc w:val="center"/>
      </w:pPr>
      <w:r>
        <w:drawing>
          <wp:inline distT="0" distB="0" distL="0" distR="0">
            <wp:extent cx="5334000" cy="3333750"/>
            <wp:effectExtent t="0" r="0" b="0" l="0"/>
            <wp:docPr id="1" nam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descr="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titl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w:t>
      </w:r>
    </w:p>
    <w:p>
      <w:pPr>
        <w:spacing w:after="120" w:line="276"/>
        <w:jc w:val="both"/>
      </w:pPr>
      <w:r>
        <w:t xml:space="preserve">Ligand binding reduced Ca RMSF modestly across the whole protein (apo 1.01 +/- 0.19 A, holo 0.88 +/- 0.11 A; mean over all 260 resolved residues), including at the fatty-acid pocket itself (apo 0.80 A, holo 0.64 A) and at the five residues that contact DNA in the AlphaFold3 model - Arg214, Lys235, Lys237, Tyr250, Lys256 (apo 0.95 A, holo 0.77 A). However, the magnitude of this reduction was similar in the C-terminal HTH domain (residues 188-273; -0.16 A) and the rest of the N-terminal domain (-0.12 A) (Figure 14), so the C-terminal domain is not disproportionately rigidified relative to the protein as a whole. This MD evidence therefore supports a modest, protein-wide stabilisation upon ligand binding - consistent with, but not on its own sufficient to establish, the domain-specific allosteric coupling proposed from the ToxT-DNA model (Section 3.13); we present it as a qualified, not confirmatory, line of support.</w:t>
      </w:r>
    </w:p>
    <w:p>
      <w:pPr>
        <w:spacing w:after="60" w:before="120"/>
        <w:jc w:val="center"/>
      </w:pPr>
      <w:r>
        <w:drawing>
          <wp:inline distT="0" distB="0" distL="0" distR="0">
            <wp:extent cx="5943600" cy="2705100"/>
            <wp:effectExtent t="0" r="0" b="0" l="0"/>
            <wp:docPr id="1" nam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descr="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titl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05100"/>
                    </a:xfrm>
                    <a:prstGeom prst="rect">
                      <a:avLst/>
                    </a:prstGeom>
                  </pic:spPr>
                </pic:pic>
              </a:graphicData>
            </a:graphic>
          </wp:inline>
        </w:drawing>
      </w:r>
    </w:p>
    <w:p>
      <w:pPr>
        <w:spacing w:after="200"/>
        <w:jc w:val="center"/>
      </w:pPr>
      <w:r>
        <w:rPr>
          <w:i/>
          <w:iCs/>
          <w:sz w:val="18"/>
          <w:szCs w:val="18"/>
        </w:rPr>
        <w:t xml:space="preserv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(decoy)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r>
    </w:tbl>
    <w:p>
      <w:pPr>
        <w:spacing w:after="60" w:before="120"/>
        <w:jc w:val="center"/>
      </w:pPr>
      <w:r>
        <w:drawing>
          <wp:inline distT="0" distB="0" distL="0" distR="0">
            <wp:extent cx="5943600" cy="2324100"/>
            <wp:effectExtent t="0" r="0" b="0" l="0"/>
            <wp:docPr id="1" name="Figure 5. MD stability (three EPA forms, rep-1 trajectory, 50 ns each - each form was later also run in triplicate; see Figure 13 for the free-acid replicate comparison): protein backbone RMSD (left) and ligand distance from the pocket (right); 10 A dashed line = bound/unbound threshold." descr="Figure 5. MD stability (three EPA forms, rep-1 trajectory, 50 ns each - each form was later also run in triplicate; see Figure 13 for the free-acid replicate comparison): protein backbone RMSD (left) and ligand distance from the pocket (right); 10 A dashed line = bound/unbound threshold." title="Figure 5. MD stability (three EPA forms, rep-1 trajectory, 50 ns each - each form was later also run in triplicate; see Figure 13 for the free-acid replicate comparison):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(three EPA forms, rep-1 trajectory, 50 ns each - each form was later also run in triplicate; see Figure 13 for the free-acid replicate comparison):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rep-1 trajectory)." descr="Figure 6. ToxT residues contacting EPA and their persistence (% of production frames within 4 A; rep-1 trajectory)." title="Figure 6. ToxT residues contacting EPA and their persistence (% of production frames within 4 A; rep-1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 rep-1 trajectory).</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docking and energetics), not MD retention, discriminates cognate lipids from the decoy. Consistent with this, the two weakest-docking cognate lipids (pentadecanal, tridecanoic) also formed stable complexes once seated (1.7-2.0 A). An apo run provided a baseline.</w:t>
      </w:r>
    </w:p>
    <w:p>
      <w:pPr>
        <w:spacing w:after="120" w:line="276"/>
      </w:pPr>
      <w:r>
        <w:rPr>
          <w:b/>
          <w:bCs/>
          <w:sz w:val="19"/>
          <w:szCs w:val="19"/>
        </w:rPr>
        <w:t xml:space="preserve">Table 7. Control and weak-binder simulations (rep-1 trajectory shown, 50 ns each; palmitoleate, glucose decoy from its docked start, pentadecanal, tridecanoic acid and apo ToxT were later also run in triplicate - see Figure 10/13/14 replicate analyses).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docked (peripheral) start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stays at pocket mouth</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seeded in pocket core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retained (buried-cavity trapping)</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w:t>
      </w:r>
    </w:p>
    <w:p>
      <w:pPr>
        <w:pStyle w:val="Heading2"/>
      </w:pPr>
      <w:r>
        <w:t xml:space="preserve">3.11 MM-GBSA binding free energies (n = 3 replicates)</w:t>
      </w:r>
    </w:p>
    <w:p>
      <w:pPr>
        <w:spacing w:after="120" w:line="276"/>
        <w:jc w:val="both"/>
      </w:pPr>
      <w:r>
        <w:t xml:space="preserve">To place the docking and MD results on an independent energetic footing, MM-GBSA binding free energies (OBC generalized-Born, entropy omitted; 100 frames/replicate) were computed for every simulated system across all three independent-seed replicates and reported as mean +/- SD across the three replicate means (Table 9). EPA is the strongest binder in both its carboxylate (-48.5 +/- 3.3 kcal/mol) and free-acid (-42.4 +/- 2.6) forms, and both EPA and gamma-linolenic acid - in either form - bind more favourably than the native palmitoleate control (-32.5 +/- 4.6), consistent with the docking-panel ranking (Section 3.4) and the retention data (Section 3.10). The two weak cognate binders (pentadecanal, tridecanoic acid) and the glucose decoy cluster at the least favourable end, with glucose giving the least favourable energy of all tested ligands, corroborating its exclusion from the pocket in blind docking (Section 3.9).</w:t>
      </w:r>
    </w:p>
    <w:p>
      <w:pPr>
        <w:spacing w:after="120" w:line="276"/>
        <w:jc w:val="both"/>
      </w:pPr>
      <w:r>
        <w:t xml:space="preserve">A single-trajectory (rep 1 only) estimate for the gamma-linolenic carboxylate had shown an alarmingly large variance (+/-20.5 kcal/mol), raising concern that the pose itself might be unstable. Averaging across n = 3 replicates resolves most of this: the SD falls to +/-5.9. A dedicated diagnostic (ligand and head-group distance to the pocket centroid, all three replicates) confirms the pose is stable throughout - the ligand centre of mass stays within 0.8-3.5 A of the pocket in every replicate - while the carboxylate carbon itself remains solvent-exposed at the pocket mouth (~7.2-7.4 A, SD 0.4-0.6 A across replicates). The residual single-trajectory variance is therefore a known GB sensitivity to a solvent-exposed anionic head group, not pose instability; we report the neutral free-acid value as the primary gamma-linolenic estimate and the carboxylate as a sensitivity check.</w:t>
      </w:r>
    </w:p>
    <w:p>
      <w:pPr>
        <w:spacing w:after="120" w:line="276"/>
      </w:pPr>
      <w:r>
        <w:rPr>
          <w:b/>
          <w:bCs/>
          <w:sz w:val="19"/>
          <w:szCs w:val="19"/>
        </w:rPr>
        <w:t xml:space="preserve">Table 9. MM-GBSA binding free energies per replicate and mean +/- SD across replicate means (n = 3, distinct seeds; 100 frames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100"/>
        <w:gridCol w:w="1100"/>
        <w:gridCol w:w="1100"/>
        <w:gridCol w:w="1800"/>
      </w:tblGrid>
      <w:tr>
        <w:trPr>
          <w:tblHeader/>
        </w:trPr>
        <w:tc>
          <w:tcPr>
            <w:tcW w:type="dxa" w:w="2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7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r1</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r2</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r3</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Mean +/- SD (kcal/mol)</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-42.4 +/- 2.6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-33.4 +/- 8.2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-48.5 +/- 3.3</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-39.1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-38.6 +/- 4.2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-30.6 +/- 7.0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-47.0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-44.3 +/- 5.9</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-32.7 +/- 1.0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-36.8 +/- 0.7</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-41.3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-45.4 +/- 4.0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+control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-32.5 +/- 4.6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decoy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-28.0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-25.3 +/- 2.4</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-34.7 +/- 3.2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-27.4</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-24.6 +/- 4.2</w:t>
            </w:r>
          </w:p>
        </w:tc>
      </w:tr>
    </w:tbl>
    <w:p>
      <w:pPr>
        <w:pStyle w:val="Heading2"/>
      </w:pPr>
      <w:r>
        <w:t xml:space="preserve">3.12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pStyle w:val="Heading2"/>
      </w:pPr>
      <w:r>
        <w:t xml:space="preserve">3.13 A modelled ToxT-DNA complex indicates an allosteric mechanism</w:t>
      </w:r>
    </w:p>
    <w:p>
      <w:pPr>
        <w:spacing w:after="120" w:line="276"/>
        <w:jc w:val="both"/>
      </w:pPr>
      <w:r>
        <w:t xml:space="preserve">To probe how fatty-acid binding translates into loss of virulence-gene activation, a ToxT-DNA complex was modelled with AlphaFold3 (full-length ToxT plus a 34-bp duplex bearing two direct-repeat toxbox elements). The ToxT fold was predicted with high confidence (pTM 0.85), whereas the protein-DNA interface was of modest confidence (ipTM 0.31); the model is therefore interpreted only at the domain level. The DNA was contacted exclusively by the C-terminal AraC-family helix-turn-helix domain (residues 188-276; e.g. Arg214, Lys235/237, Tyr250, Lys256), while the fatty-acid pocket lies on the separate N-terminal domain, making no direct contact with the DNA in the model (Figure 11). Because the regulatory pocket and the DNA-reading head are on distinct domains, fatty-acid occupancy is unlikely to sterically block DNA binding; the architecture is instead consistent with an allosteric mechanism in which pocket occupancy restrains the inter-domain conformation required for productive DNA engagement - the closed-state model of Lowden et al. (2010). The algal lipids are thus predicted to switch off ToxT-dependent transcription by locking ToxT in a DNA-binding-incompetent conformation rather than by competing with DNA directly. We emphasise that the ToxT-DNA model has a low-confidence interface (ipTM 0.31) and used a consensus toxbox, so this mechanism is a structural hypothesis, not an established geometry.</w:t>
      </w:r>
    </w:p>
    <w:p>
      <w:pPr>
        <w:spacing w:after="60" w:before="120"/>
        <w:jc w:val="center"/>
      </w:pPr>
      <w:r>
        <w:drawing>
          <wp:inline distT="0" distB="0" distL="0" distR="0">
            <wp:extent cx="5715000" cy="4210050"/>
            <wp:effectExtent t="0" r="0" b="0" l="0"/>
            <wp:docPr id="1" nam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descr="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titl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210050"/>
                    </a:xfrm>
                    <a:prstGeom prst="rect">
                      <a:avLst/>
                    </a:prstGeom>
                  </pic:spPr>
                </pic:pic>
              </a:graphicData>
            </a:graphic>
          </wp:inline>
        </w:drawing>
      </w:r>
    </w:p>
    <w:p>
      <w:pPr>
        <w:spacing w:after="200"/>
        <w:jc w:val="center"/>
      </w:pPr>
      <w:r>
        <w:rPr>
          <w:i/>
          <w:iCs/>
          <w:sz w:val="18"/>
          <w:szCs w:val="18"/>
        </w:rPr>
        <w:t xml:space="preserv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contact (dominated by chain length), the cis double bonds position their pi-systems against the aromatic-cage residues (alkene-pi, 3.7-4.0 A; Section 3.4, Figure 12), a specific if modest rationale for the unsaturation preference.</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spacing w:after="120" w:line="276"/>
        <w:jc w:val="both"/>
      </w:pPr>
      <w:r>
        <w:t xml:space="preserve">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pPr>
        <w:pStyle w:val="Heading1"/>
      </w:pPr>
      <w:r>
        <w:t xml:space="preserve">5. Limitations</w:t>
      </w:r>
    </w:p>
    <w:p>
      <w:pPr>
        <w:spacing w:after="120" w:line="276"/>
        <w:jc w:val="both"/>
      </w:pPr>
      <w:r>
        <w:t xml:space="preserve">This study is entirely computational and provides a mechanistic rationale for antivirulence activity we reported experimentally elsewhere; it does not itself demonstrate ToxT inhibition, which requires direct assays (ToxT-DNA EMSA or a promoter-reporter). Panel affinities span only ~2 kcal/mol (within Vina error), so correlations describe trends, not per-lipid ranking, and the descriptors are collinear. Docking used one rigid conformation; each MD system was run as n = 3 independent-seed 50 ns replicates (42 trajectories across 14 systems), sufficient to distinguish genuine between-run variance from single-trajectory noise (Section 3.11) but not to extend the sampled timescale - because the pocket is internal, ligand retention is still a modest bar rather than strong evidence of favourable binding, and 50 ns per replicate remains short relative to slower conformational processes;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binding preference (blind docking: 0/20 poses in the pocket; weak affinity) and MM-GBSA energetics. An apo-versus-holo per-residue RMSF comparison (Section 3.8, Figure 14) found a modest, protein-wide stabilisation upon ligand binding (Ca RMSF -0.13 A on average) but no disproportionate rigidification of the C-terminal HTH domain specifically (-0.16 A there vs -0.12 A in the rest of the protein), so this MD-based evidence is consistent with, but does not on its own establish, the domain-specific allosteric coupling proposed from the ToxT-DNA model. MM-GBSA (OBC, no entropy) gives relative, not absolute, energies. Values are reported as mean +/- SD across n = 3 independent-seed replicates per system (Table 9); replicate averaging substantially reduced the large single-trajectory variance seen for charged and some ester ligands (e.g. the gamma-linolenic carboxylate fell from +/-20.5 to +/-5.9 kcal/mol on averaging), though esterified forms such as the EPA methyl ester (+/-8.2) still show comparatively larger between-replicate spread and should be read with correspondingly wider uncertainty. The AlphaFold3 ToxT-DNA model has a low-confidence interface and used a consensus toxbox. Organism-level interpretation requires quantitative GC-MS abundances, available here only qualitatively.</w:t>
      </w:r>
    </w:p>
    <w:p>
      <w:pPr>
        <w:pStyle w:val="Heading1"/>
      </w:pPr>
      <w:r>
        <w:t xml:space="preserve">6. Reproducibility and data availability</w:t>
      </w:r>
    </w:p>
    <w:p>
      <w:pPr>
        <w:spacing w:after="120" w:line="276"/>
        <w:jc w:val="both"/>
      </w:pPr>
      <w:r>
        <w:t xml:space="preserve">All steps are deterministic (seed = 42). Code, inputs and small outputs are on GitHub (https://github.com/MrsSwetaJaiswal/ToxT-algal-lipid-docking); full molecular-dynamics trajectories, serialized systems and simulation topologies are archived on Zenodo, DOI: 10.5281/zenodo.21767402 (https://doi.org/10.5281/zenodo.21767402).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The independent MD replicate campaign originally planned here is now complete (n = 3 replicates per system across all 14 simulated systems; Section 2.8). Remaining planned extensions include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Withey JH, DiRita VJ. The toxbox: specific DNA sequence requirements for activation of V. cholerae virulence genes by ToxT. Mol Microbiol 2006;59:1779-1789.</w:t>
      </w:r>
    </w:p>
    <w:p>
      <w:pPr>
        <w:spacing w:after="80"/>
      </w:pPr>
      <w:r>
        <w:rPr>
          <w:sz w:val="19"/>
          <w:szCs w:val="19"/>
        </w:rPr>
        <w:t xml:space="preserve">3. Hung DT, et al. Small-molecule inhibitor of V. cholerae virulence and intestinal colonization (virstatin). Science 2005;310:670-674.</w:t>
      </w:r>
    </w:p>
    <w:p>
      <w:pPr>
        <w:spacing w:after="80"/>
      </w:pPr>
      <w:r>
        <w:rPr>
          <w:sz w:val="19"/>
          <w:szCs w:val="19"/>
        </w:rPr>
        <w:t xml:space="preserve">4. Woodbrey AK, et al. A modified ToxT inhibitor reduces V. cholerae virulence in vivo. Biochemistry 2018;57:5609-5615.</w:t>
      </w:r>
    </w:p>
    <w:p>
      <w:pPr>
        <w:spacing w:after="80"/>
      </w:pPr>
      <w:r>
        <w:rPr>
          <w:sz w:val="19"/>
          <w:szCs w:val="19"/>
        </w:rPr>
        <w:t xml:space="preserve">5. Anthouard R, DiRita VJ. Small-molecule inhibitors of toxT expression in V. cholerae (toxtazins). mBio 2013;4:e00403-13.</w:t>
      </w:r>
    </w:p>
    <w:p>
      <w:pPr>
        <w:spacing w:after="80"/>
      </w:pPr>
      <w:r>
        <w:rPr>
          <w:sz w:val="19"/>
          <w:szCs w:val="19"/>
        </w:rPr>
        <w:t xml:space="preserve">6. Woodbrey AK, Onyango EO, Pellegrini M, Kovacikova G, Taylor RK, Gribble GW, Kull FJ. A new class of inhibitors of the AraC family virulence regulator Vibrio cholerae ToxT. Sci Rep 2017;7:45011. doi:10.1038/srep45011.</w:t>
      </w:r>
    </w:p>
    <w:p>
      <w:pPr>
        <w:spacing w:after="80"/>
      </w:pPr>
      <w:r>
        <w:rPr>
          <w:sz w:val="19"/>
          <w:szCs w:val="19"/>
        </w:rPr>
        <w:t xml:space="preserve">7. Canals A, Pieretti S, Muriel-Masanes M, El Yaman N, Plecha SC, Thomson JJ, Fabrega-Ferrer M, Perez-Luque R, Krukonis ES, Coll M. ToxR activates the Vibrio cholerae virulence genes by tethering DNA to the membrane through versatile binding to multiple sites. Proc Natl Acad Sci USA 2023;120:e2304378120. PDB 8B4D. doi:10.1073/pnas.2304378120.</w:t>
      </w:r>
    </w:p>
    <w:p>
      <w:pPr>
        <w:spacing w:after="80"/>
      </w:pPr>
      <w:r>
        <w:rPr>
          <w:sz w:val="19"/>
          <w:szCs w:val="19"/>
        </w:rPr>
        <w:t xml:space="preserve">8. Perveen S, Chaudhary HS. In silico screening of antibacterial compounds from herbal sources against Vibrio cholerae. Pharmacogn Mag 2015;11(Suppl 4):S550-S555. doi:10.4103/0973-1296.172960.</w:t>
      </w:r>
    </w:p>
    <w:p>
      <w:pPr>
        <w:spacing w:after="80"/>
      </w:pPr>
      <w:r>
        <w:rPr>
          <w:sz w:val="19"/>
          <w:szCs w:val="19"/>
        </w:rPr>
        <w:t xml:space="preserve">9. Kundu S, Das S, Maitra P, Halder P, Koley H, Mukhopadhyay AK, Miyoshi S, Dutta S, Chatterjee NS, Bhattacharya S. Sodium butyrate inhibits the expression of virulence factors in Vibrio cholerae by targeting ToxT protein. mSphere 2025;10(5):e00824-24. doi:10.1128/msphere.00824-24.</w:t>
      </w:r>
    </w:p>
    <w:p>
      <w:pPr>
        <w:spacing w:after="80"/>
      </w:pPr>
      <w:r>
        <w:rPr>
          <w:sz w:val="19"/>
          <w:szCs w:val="19"/>
        </w:rPr>
        <w:t xml:space="preserve">10.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pPr>
        <w:spacing w:after="80"/>
      </w:pPr>
      <w:r>
        <w:rPr>
          <w:sz w:val="19"/>
          <w:szCs w:val="19"/>
        </w:rPr>
        <w:t xml:space="preserve">11. Trott O, Olson AJ. AutoDock Vina. J Comput Chem 2010;31:455-461.</w:t>
      </w:r>
    </w:p>
    <w:p>
      <w:pPr>
        <w:spacing w:after="80"/>
      </w:pPr>
      <w:r>
        <w:rPr>
          <w:sz w:val="19"/>
          <w:szCs w:val="19"/>
        </w:rPr>
        <w:t xml:space="preserve">12. Eberhardt J, Santos-Martins D, Tillack AF, Forli S. AutoDock Vina 1.2.0. J Chem Inf Model 2021;61:3891-3898.</w:t>
      </w:r>
    </w:p>
    <w:p>
      <w:pPr>
        <w:spacing w:after="80"/>
      </w:pPr>
      <w:r>
        <w:rPr>
          <w:sz w:val="19"/>
          <w:szCs w:val="19"/>
        </w:rPr>
        <w:t xml:space="preserve">13. Quiroga R, Villarreal MA. Vinardo scoring function. PLoS ONE 2016;11:e0155183.</w:t>
      </w:r>
    </w:p>
    <w:p>
      <w:pPr>
        <w:spacing w:after="80"/>
      </w:pPr>
      <w:r>
        <w:rPr>
          <w:sz w:val="19"/>
          <w:szCs w:val="19"/>
        </w:rPr>
        <w:t xml:space="preserve">14. Eastman P, et al. OpenMM 8. J Phys Chem B 2024;128:109-116.</w:t>
      </w:r>
    </w:p>
    <w:p>
      <w:pPr>
        <w:spacing w:after="80"/>
      </w:pPr>
      <w:r>
        <w:rPr>
          <w:sz w:val="19"/>
          <w:szCs w:val="19"/>
        </w:rPr>
        <w:t xml:space="preserve">15. Boothroyd S, et al. Open Force Field 2.0.0 (Sage). J Chem Theory Comput 2023;19:3251-3275.</w:t>
      </w:r>
    </w:p>
    <w:p>
      <w:pPr>
        <w:spacing w:after="80"/>
      </w:pPr>
      <w:r>
        <w:rPr>
          <w:sz w:val="19"/>
          <w:szCs w:val="19"/>
        </w:rPr>
        <w:t xml:space="preserve">16. Open Force Field Initiative. OpenFF NAGL: graph neural network partial charge assignment. https://github.com/openforcefield/openff-nagl (software; no dedicated peer-reviewed publication identified as of this draft).</w:t>
      </w:r>
    </w:p>
    <w:p>
      <w:pPr>
        <w:spacing w:after="80"/>
      </w:pPr>
      <w:r>
        <w:rPr>
          <w:sz w:val="19"/>
          <w:szCs w:val="19"/>
        </w:rPr>
        <w:t xml:space="preserve">17. Abramson J, et al. Accurate structure prediction of biomolecular interactions with AlphaFold3. Nature 2024;630:493-500.</w:t>
      </w:r>
    </w:p>
    <w:p>
      <w:pPr>
        <w:spacing w:after="80"/>
      </w:pPr>
      <w:r>
        <w:rPr>
          <w:sz w:val="19"/>
          <w:szCs w:val="19"/>
        </w:rPr>
        <w:t xml:space="preserve">18. McGibbon RT, et al. MDTraj: analysis of molecular dynamics trajectories. Biophys J 2015;109:1528-1532.</w:t>
      </w:r>
    </w:p>
    <w:p>
      <w:pPr>
        <w:spacing w:after="80"/>
      </w:pPr>
      <w:r>
        <w:rPr>
          <w:sz w:val="19"/>
          <w:szCs w:val="19"/>
        </w:rPr>
        <w:t xml:space="preserve">19. Kim S, et al. PubChem 2023 update. Nucleic Acids Res 2023;51:D1373-D1380.</w:t>
      </w:r>
    </w:p>
    <w:p>
      <w:pPr>
        <w:spacing w:after="80"/>
      </w:pPr>
      <w:r>
        <w:rPr>
          <w:sz w:val="19"/>
          <w:szCs w:val="19"/>
        </w:rPr>
        <w:t xml:space="preserve">20. Landrum G, et al. RDKit: Open-source cheminformatics. https://www.rdkit.org.</w:t>
      </w:r>
    </w:p>
    <w:p>
      <w:pPr>
        <w:spacing w:after="80"/>
      </w:pPr>
      <w:r>
        <w:rPr>
          <w:sz w:val="19"/>
          <w:szCs w:val="19"/>
        </w:rPr>
        <w:t xml:space="preserve">21. (2026-08-03: all previously-bracketed placeholder references resolved via web search. Two needed a year correction: the herbal-screen reference is 2015, not 2016; the sodium-butyrate reference is 2025, not 2024. The OpenFF-NAGL reference is software-only; verify before submission.)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4132737a93115a94c56d5afff272ecc3ed32a6b9.png"/><Relationship Id="rId10" Type="http://schemas.openxmlformats.org/officeDocument/2006/relationships/image" Target="media/6dbe08638644a4c0b82a5ec581f15eb608571081.png"/><Relationship Id="rId11" Type="http://schemas.openxmlformats.org/officeDocument/2006/relationships/image" Target="media/b350b1bfdfd346b9b76334dd013ccd987f448105.png"/><Relationship Id="rId12" Type="http://schemas.openxmlformats.org/officeDocument/2006/relationships/image" Target="media/e0aabf1c209d7be76da6b6d46d80c34280dabccc.png"/><Relationship Id="rId13" Type="http://schemas.openxmlformats.org/officeDocument/2006/relationships/image" Target="media/fe00aebd41ac3026f657b35f53f5ee50032493d5.png"/><Relationship Id="rId14" Type="http://schemas.openxmlformats.org/officeDocument/2006/relationships/image" Target="media/4f2a9a555ecc7976462177c837c2cbf5050226fc.png"/><Relationship Id="rId15" Type="http://schemas.openxmlformats.org/officeDocument/2006/relationships/image" Target="media/1a498bb25bf8bd10dd29ce4f1fd914f850541c3a.png"/><Relationship Id="rId16" Type="http://schemas.openxmlformats.org/officeDocument/2006/relationships/image" Target="media/14dd29955587d28cfbb5d2b75e85238d444351d2.png"/><Relationship Id="rId17" Type="http://schemas.openxmlformats.org/officeDocument/2006/relationships/image" Target="media/191ebbb7f5503c446bb64ab7f6c3fcb3db4a1fad.png"/><Relationship Id="rId18" Type="http://schemas.openxmlformats.org/officeDocument/2006/relationships/image" Target="media/b71c319489b2822773afadf6791ce6bdb45a2266.png"/><Relationship Id="rId19" Type="http://schemas.openxmlformats.org/officeDocument/2006/relationships/image" Target="media/1a7a091dd6ac1c2850c1bcfe731c7b71c8f1b829.png"/><Relationship Id="rId20" Type="http://schemas.openxmlformats.org/officeDocument/2006/relationships/image" Target="media/750a508621a798a23e5e776287808d1e8c7498a4.png"/><Relationship Id="rId21" Type="http://schemas.openxmlformats.org/officeDocument/2006/relationships/image" Target="media/3b14852cb745c6d818dc8ee1f2905c259a914107.png"/><Relationship Id="rId22" Type="http://schemas.openxmlformats.org/officeDocument/2006/relationships/image" Target="media/935eba0db5d04d985fd35e087bc9ca356ffda1b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2026-08-03T16:50:09.464Z</dcterms:created>
  <dcterms:modified xsi:type="dcterms:W3CDTF">2026-08-03T16:50:09.466Z</dcterms:modified>
</cp:coreProperties>
</file>

<file path=docProps/custom.xml><?xml version="1.0" encoding="utf-8"?>
<Properties xmlns="http://schemas.openxmlformats.org/officeDocument/2006/custom-properties" xmlns:vt="http://schemas.openxmlformats.org/officeDocument/2006/docPropsVTypes"/>
</file>