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Molecular docking of Chlorella (CV) and Chlorococcum (CCM) lipids against the Vibrio cholerae virulence regulator ToxT</w:t>
      </w:r>
    </w:p>
    <w:p>
      <w:pPr>
        <w:spacing w:after="240"/>
        <w:jc w:val="center"/>
      </w:pPr>
      <w:r>
        <w:rPr>
          <w:i/>
          <w:iCs/>
          <w:sz w:val="18"/>
          <w:szCs w:val="18"/>
        </w:rPr>
        <w:t xml:space="preserve">Working manuscript draft - computational (docking) component. Species names and experimental/GC-MS details are placeholders to be completed by the authors.</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To test whether direct ToxT binding could underlie the observed antivirulence activity of lipid extracts from two green microalgae (CV and CCM),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 moderate-to-strong predicted affinities (-6.8 to -8.8 kcal/mol). Binding strength correlated most strongly with degree of unsaturation (r = -0.87) and chain length (r = -0.70), whereas headgroup esterification state had a negligible effect (mean |dG| ~ 0.11 kcal/mol between free-acid and methyl-ester forms). Rankings were robust to scoring-function choice (Vina vs. Vinardo, Spearman rho = 0.83). Per-molecule affinities were statistically indistinguishable between organisms (mean dG: CV -7.77, CCM -7.64 kcal/mol), indicating that the superior in vivo activity of CCM is not explained by individual-lipid binding strength alone but more likely by abundance-weighted extract composition and bioavailability. Molecular-dynamics simulations (nine 50 ns runs: three fatty acids - EPA, gamma-linolenic and palmitic - each as free acid, methyl ester and deprotonated carboxylate) confirmed every complex is dynamically stable, with the ligand bound to the ToxT pocket for 100% of the trajectory; binding was robust to chain length, esterification and protonation state. Control simulations established specificity: the native ligand remained bound (positive control) while a glucose decoy was expelled to the pocket mouth (negative control), and all cognate lipids - including the weakest binders - formed stable complexes. A modelled ToxT-DNA complex (AlphaFold3) placed the DNA at the C-terminal HTH domain ~30 A from the fatty-acid pocket, indicating an allosteric rather than steric mechanism of transcriptional inhibition.</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Lipid extracts of two green microalgae (CV and CCM) reduce V. cholerae virulence phenotypes; because both extracts are rich in free fatty acids and fatty-acid methyl esters, we hypothesized that their activity is mediated, at least in part, by direct binding to the ToxT fatty-acid pocket. Here we use molecular docking to (i) test whether the lipid species detected in each extract are predicted to bind ToxT, (ii) identify the structural determinants of binding, (iii) ask whether the free-acid or methyl-ester form is favored, and (iv) compare the two organisms.</w:t>
      </w:r>
    </w:p>
    <w:p>
      <w:pPr>
        <w:pStyle w:val="Heading1"/>
      </w:pPr>
      <w:r>
        <w:t xml:space="preserve">2. Materials and Methods</w:t>
      </w:r>
    </w:p>
    <w:p>
      <w:pPr>
        <w:pStyle w:val="Heading2"/>
      </w:pPr>
      <w:r>
        <w:t xml:space="preserve">2.1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2.2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2.3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2.4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2.5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2.6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2.7 ToxT-DNA modelling</w:t>
      </w:r>
    </w:p>
    <w:p>
      <w:pPr>
        <w:spacing w:after="120" w:line="276"/>
        <w:jc w:val="both"/>
      </w:pPr>
      <w:r>
        <w:t xml:space="preserve">A ToxT-DNA complex was predicted with the AlphaFold3 server using the full-length ToxT sequence and a 34-bp duplex containing two direct-repeat toxbox consensus elements. The top-ranked model was analysed (confidence: pTM, interface ipTM); the fatty-acid-bound crystal (3GBG) was superposed onto the modelled ToxT (Ca) to place the native lipid, and protein-DNA contacts defined at 5 A.</w:t>
      </w:r>
    </w:p>
    <w:p>
      <w:pPr>
        <w:pStyle w:val="Heading2"/>
      </w:pPr>
      <w:r>
        <w:t xml:space="preserve">2.8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50 ns simulations).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for the nine head-group simulations - three fatty acids x three forms. All stay far below the 10 A unbound threshold." descr="Figure 7. Ligand distance from the pocket (mean over production) for the nine head-group simulations - three fatty acids x three forms. All stay far below the 10 A unbound threshold." title="Figure 7. Ligand distance from the pocket (mean over production)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for the nine head-group simulations - three fatty acids x three forms. All stay far below the 10 A unbound threshold.</w:t>
      </w:r>
    </w:p>
    <w:p>
      <w:pPr>
        <w:spacing w:after="120" w:line="276"/>
      </w:pPr>
      <w:r>
        <w:rPr>
          <w:i/>
          <w:iCs/>
          <w:sz w:val="19"/>
          <w:szCs w:val="19"/>
        </w:rPr>
        <w:t xml:space="preserve">Positive (native palmitoleate), negative (glucose decoy; apo ToxT) and weak-binder (pentadecanal, tridecanoic) control simulations are in progress and will be added on completion.</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consistent with weak, non-specific association. Thus strong unsaturated lipids are pocket-selective while saturated lipids bind loosely,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bl>
    <w:p>
      <w:pPr>
        <w:spacing w:after="60" w:before="120"/>
        <w:jc w:val="center"/>
      </w:pPr>
      <w:r>
        <w:drawing>
          <wp:inline distT="0" distB="0" distL="0" distR="0">
            <wp:extent cx="5943600" cy="2324100"/>
            <wp:effectExtent t="0" r="0" b="0" l="0"/>
            <wp:docPr id="1" name="Figure 5. MD stability (50 ns): protein backbone RMSD (left) and ligand distance from the pocket (right); 10 A dashed line = bound/unbound threshold." descr="Figure 5. MD stability (50 ns): protein backbone RMSD (left) and ligand distance from the pocket (right); 10 A dashed line = bound/unbound threshold." title="Figure 5. MD stability (50 ns):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(50 ns):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descr="Figure 6. ToxT residues contacting EPA and their persistence (% of production frames within 4 A)." title="Figure 6. ToxT residues contacting EPA and their persistence (% of production frames within 4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Three control simulations tested specificity (Table 7). Positive control: the native ligand palmitoleate remained bound throughout (ligand-pocket 1.5 A, 100% of frames), reproducing the crystallographic mode and validating the protocol. Negative control: a glucose decoy docked into the pocket was expelled to the pocket mouth (~8.9 A) and never occupied the core, whereas all fatty acids stayed 1-3 A from the pocket centre (Figure 10) - demonstrating the pocket is fatty-acid selective. The two weakest-docking lipids (pentadecanal, tridecanoic acid) nonetheless formed stable complexes once seated (1.7-2.0 A, 100% bound); thus all cognate lipids are retained, and affinity differences among lipids manifest as reduced pocket-selectivity in blind docking (Section 3.9) rather than reduced MD stability. An apo (ligand-free) run provided a dynamics baseline.</w:t>
      </w:r>
    </w:p>
    <w:p>
      <w:pPr>
        <w:spacing w:after="120" w:line="276"/>
      </w:pPr>
      <w:r>
        <w:rPr>
          <w:b/>
          <w:bCs/>
          <w:sz w:val="19"/>
          <w:szCs w:val="19"/>
        </w:rPr>
        <w:t xml:space="preserve">Table 7. Control and weak-binder simulations (50 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expelled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cognate fatty acids and the native ligand stay in the pocket core (green band), while the glucose decoy is held at the pocket mouth (~9 A)." descr="Figure 10. Ligand-pocket distance over 50 ns: cognate fatty acids and the native ligand stay in the pocket core (green band), while the glucose decoy is held at the pocket mouth (~9 A)." title="Figure 10. Ligand-pocket distance over 50 ns: cognate fatty acids and the native ligand stay in the pocket core (green band), while the glucose decoy is held at the pocket mouth (~9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cognate fatty acids and the native ligand stay in the pocket core (green band), while the glucose decoy is held at the pocket mouth (~9 A).</w:t>
      </w:r>
    </w:p>
    <w:p>
      <w:pPr>
        <w:pStyle w:val="Heading2"/>
      </w:pPr>
      <w:r>
        <w:t xml:space="preserve">3.11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pStyle w:val="Heading2"/>
      </w:pPr>
      <w:r>
        <w:t xml:space="preserve">3.12 A modelled ToxT-DNA complex indicates an allosteric mechanism</w:t>
      </w:r>
    </w:p>
    <w:p>
      <w:pPr>
        <w:spacing w:after="120" w:line="276"/>
        <w:jc w:val="both"/>
      </w:pPr>
      <w:r>
        <w:t xml:space="preserve">To probe how fatty-acid binding translates into loss of virulence-gene activation, a ToxT-DNA complex was modelled with AlphaFold3 (full-length ToxT plus a 34-bp duplex bearing two direct-repeat toxbox elements). The ToxT fold was predicted with high confidence (pTM 0.85), whereas the protein-DNA interface was of modest confidence (ipTM 0.31); the model is therefore interpreted only at the domain level. The DNA was contacted exclusively by the C-terminal AraC-family helix-turn-helix domain (residues 188-276; e.g. Arg214, Lys235/237, Tyr250, Lys256), while the fatty-acid pocket lies in the N-terminal domain ~30 A away, making no direct contact with the DNA (nearest approach ~6 A; Figure 11). Because the regulatory pocket and the DNA-reading head are on distinct, spatially separated domains, fatty-acid occupancy cannot sterically block DNA binding; the architecture is instead consistent with an allosteric mechanism in which pocket occupancy restrains the inter-domain conformation required for productive DNA engagement - the closed-state model of Lowden et al. (2010). The algal lipids are thus predicted to switch off ToxT-dependent transcription by locking ToxT in a DNA-binding-incompetent conformation rather than by competing with DNA directly.</w:t>
      </w:r>
    </w:p>
    <w:p>
      <w:pPr>
        <w:spacing w:after="60" w:before="120"/>
        <w:jc w:val="center"/>
      </w:pPr>
      <w:r>
        <w:drawing>
          <wp:inline distT="0" distB="0" distL="0" distR="0">
            <wp:extent cx="5715000" cy="4210050"/>
            <wp:effectExtent t="0" r="0" b="0" l="0"/>
            <wp:docPr id="1" name="Figure 11. AlphaFold3 model of the ToxT-DNA complex: toxbox DNA (teal), the C-terminal HTH DNA-binding domain (blue, residues 188-276), and the fatty-acid pocket (orange) with the native ligand (yellow, from 3GBG superposition) ~30 A away (red dashes) - supporting an allosteric mechanism. ToxT fold high-confidence (pTM 0.85); DNA pose low-confidence (ipTM 0.31), interpreted only at the domain level." descr="Figure 11. AlphaFold3 model of the ToxT-DNA complex: toxbox DNA (teal), the C-terminal HTH DNA-binding domain (blue, residues 188-276), and the fatty-acid pocket (orange) with the native ligand (yellow, from 3GBG superposition) ~30 A away (red dashes) - supporting an allosteric mechanism. ToxT fold high-confidence (pTM 0.85); DNA pose low-confidence (ipTM 0.31), interpreted only at the domain level." title="Figure 11. AlphaFold3 model of the ToxT-DNA complex: toxbox DNA (teal), the C-terminal HTH DNA-binding domain (blue, residues 188-276), and the fatty-acid pocket (orange) with the native ligand (yellow, from 3GBG superposition) ~30 A away (red dashes) - supporting an allosteric mechanism. ToxT fold high-confidence (pTM 0.85); DNA pose low-confidence (ipTM 0.31), interpreted only at the domain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210050"/>
                    </a:xfrm>
                    <a:prstGeom prst="rect">
                      <a:avLst/>
                    </a:prstGeom>
                  </pic:spPr>
                </pic:pic>
              </a:graphicData>
            </a:graphic>
          </wp:inline>
        </w:drawing>
      </w:r>
    </w:p>
    <w:p>
      <w:pPr>
        <w:spacing w:after="200"/>
        <w:jc w:val="center"/>
      </w:pPr>
      <w:r>
        <w:rPr>
          <w:i/>
          <w:iCs/>
          <w:sz w:val="18"/>
          <w:szCs w:val="18"/>
        </w:rPr>
        <w:t xml:space="preserve">Figure 11. AlphaFold3 model of the ToxT-DNA complex: toxbox DNA (teal), the C-terminal HTH DNA-binding domain (blue, residues 188-276), and the fatty-acid pocket (orange) with the native ligand (yellow, from 3GBG superposition) ~30 A away (red dashes) - supporting an allosteric mechanism. ToxT fold high-confidence (pTM 0.85); DNA pose low-confidence (ipTM 0.31), interpreted only at the domain level.</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natural ToxT ligand and the Lowden mechanism in which cis double bonds impose the bent geometry that fits the pocket.</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pStyle w:val="Heading1"/>
      </w:pPr>
      <w:r>
        <w:t xml:space="preserve">5. Limitations</w:t>
      </w:r>
    </w:p>
    <w:p>
      <w:pPr>
        <w:spacing w:after="120" w:line="276"/>
        <w:jc w:val="both"/>
      </w:pPr>
      <w:r>
        <w:t xml:space="preserve">Docking provides relative hypotheses, not absolute affinities (Vina ~ +/-1-2 kcal/mol); within-tier rank differences should not be over-interpreted. Docking used a single rigid-receptor conformation; MD (top binder, both forms) confirmed the complex is stable, but induced-fit was not explored for the full panel, and MD was run as single 50 ns trajectories (replicates would strengthen statistics). MD covered 13 systems (three fatty acids x three forms, plus positive/negative controls and weak binders) as single 50 ns trajectories; independent replicates and MD of the remaining panel members would further strengthen the statistics. Organism-level interpretation requires quantitative GC-MS abundances, available here only qualitatively (presence/absence), so abundance-weighting remains future work.</w:t>
      </w:r>
    </w:p>
    <w:p>
      <w:pPr>
        <w:pStyle w:val="Heading1"/>
      </w:pPr>
      <w:r>
        <w:t xml:space="preserve">6. Reproducibility and data availability</w:t>
      </w:r>
    </w:p>
    <w:p>
      <w:pPr>
        <w:spacing w:after="120" w:line="276"/>
        <w:jc w:val="both"/>
      </w:pPr>
      <w:r>
        <w:t xml:space="preserve">All steps are deterministic (seed = 42).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Planned extensions include independent MD replicates for statistics,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Trott O, Olson AJ. AutoDock Vina: improving the speed and accuracy of docking. J Comput Chem 2010;31:455-461.</w:t>
      </w:r>
    </w:p>
    <w:p>
      <w:pPr>
        <w:spacing w:after="80"/>
      </w:pPr>
      <w:r>
        <w:rPr>
          <w:sz w:val="19"/>
          <w:szCs w:val="19"/>
        </w:rPr>
        <w:t xml:space="preserve">3. Eberhardt J, Santos-Martins D, Tillack AF, Forli S. AutoDock Vina 1.2.0. J Chem Inf Model 2021;61:3891-3898.</w:t>
      </w:r>
    </w:p>
    <w:p>
      <w:pPr>
        <w:spacing w:after="80"/>
      </w:pPr>
      <w:r>
        <w:rPr>
          <w:sz w:val="19"/>
          <w:szCs w:val="19"/>
        </w:rPr>
        <w:t xml:space="preserve">4. Quiroga R, Villarreal MA. Vinardo: A scoring function based on AutoDock Vina. PLoS ONE 2016;11:e0155183.</w:t>
      </w:r>
    </w:p>
    <w:p>
      <w:pPr>
        <w:spacing w:after="80"/>
      </w:pPr>
      <w:r>
        <w:rPr>
          <w:sz w:val="19"/>
          <w:szCs w:val="19"/>
        </w:rPr>
        <w:t xml:space="preserve">5. Kim S, et al. PubChem 2023 update. Nucleic Acids Res 2023;51:D1373-D1380.</w:t>
      </w:r>
    </w:p>
    <w:p>
      <w:pPr>
        <w:spacing w:after="80"/>
      </w:pPr>
      <w:r>
        <w:rPr>
          <w:sz w:val="19"/>
          <w:szCs w:val="19"/>
        </w:rPr>
        <w:t xml:space="preserve">6. Landrum G, et al. RDKit: Open-source cheminformatics. https://www.rdkit.org.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6dbe08638644a4c0b82a5ec581f15eb608571081.png"/><Relationship Id="rId10" Type="http://schemas.openxmlformats.org/officeDocument/2006/relationships/image" Target="media/b350b1bfdfd346b9b76334dd013ccd987f448105.png"/><Relationship Id="rId11" Type="http://schemas.openxmlformats.org/officeDocument/2006/relationships/image" Target="media/e0aabf1c209d7be76da6b6d46d80c34280dabccc.png"/><Relationship Id="rId12" Type="http://schemas.openxmlformats.org/officeDocument/2006/relationships/image" Target="media/fe00aebd41ac3026f657b35f53f5ee50032493d5.png"/><Relationship Id="rId13" Type="http://schemas.openxmlformats.org/officeDocument/2006/relationships/image" Target="media/14dd29955587d28cfbb5d2b75e85238d444351d2.png"/><Relationship Id="rId14" Type="http://schemas.openxmlformats.org/officeDocument/2006/relationships/image" Target="media/191ebbb7f5503c446bb64ab7f6c3fcb3db4a1fad.png"/><Relationship Id="rId15" Type="http://schemas.openxmlformats.org/officeDocument/2006/relationships/image" Target="media/b71c319489b2822773afadf6791ce6bdb45a2266.png"/><Relationship Id="rId16" Type="http://schemas.openxmlformats.org/officeDocument/2006/relationships/image" Target="media/1a7a091dd6ac1c2850c1bcfe731c7b71c8f1b829.png"/><Relationship Id="rId17" Type="http://schemas.openxmlformats.org/officeDocument/2006/relationships/image" Target="media/750a508621a798a23e5e776287808d1e8c7498a4.png"/><Relationship Id="rId18" Type="http://schemas.openxmlformats.org/officeDocument/2006/relationships/image" Target="media/a627bd69afba551c8a73f05630c5a6da6327e0d0.png"/><Relationship Id="rId19" Type="http://schemas.openxmlformats.org/officeDocument/2006/relationships/image" Target="media/935eba0db5d04d985fd35e087bc9ca356ffda1b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2026-07-13T18:14:36.080Z</dcterms:created>
  <dcterms:modified xsi:type="dcterms:W3CDTF">2026-07-13T18:14:36.082Z</dcterms:modified>
</cp:coreProperties>
</file>

<file path=docProps/custom.xml><?xml version="1.0" encoding="utf-8"?>
<Properties xmlns="http://schemas.openxmlformats.org/officeDocument/2006/custom-properties" xmlns:vt="http://schemas.openxmlformats.org/officeDocument/2006/docPropsVTypes"/>
</file>