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CC86" w14:textId="77777777" w:rsidR="00031904" w:rsidRPr="002A4461" w:rsidRDefault="00031904" w:rsidP="00031904">
      <w:pPr>
        <w:pStyle w:val="berschrift1"/>
        <w:rPr>
          <w:rFonts w:ascii="Arial" w:hAnsi="Arial" w:cs="Arial"/>
        </w:rPr>
      </w:pPr>
      <w:proofErr w:type="gramStart"/>
      <w:r w:rsidRPr="002A4461">
        <w:rPr>
          <w:rFonts w:ascii="Arial" w:hAnsi="Arial" w:cs="Arial"/>
          <w:b/>
          <w:color w:val="51358C"/>
        </w:rPr>
        <w:t>Change</w:t>
      </w:r>
      <w:r w:rsidRPr="002A4461">
        <w:rPr>
          <w:rFonts w:ascii="Arial" w:hAnsi="Arial" w:cs="Arial"/>
        </w:rPr>
        <w:t xml:space="preserve"> </w:t>
      </w:r>
      <w:r w:rsidRPr="002A4461">
        <w:rPr>
          <w:rFonts w:ascii="Arial" w:hAnsi="Arial" w:cs="Arial"/>
          <w:b/>
          <w:color w:val="51358C"/>
        </w:rPr>
        <w:t>Management</w:t>
      </w:r>
      <w:proofErr w:type="gramEnd"/>
      <w:r w:rsidRPr="002A4461">
        <w:rPr>
          <w:rFonts w:ascii="Arial" w:hAnsi="Arial" w:cs="Arial"/>
          <w:b/>
          <w:color w:val="51358C"/>
        </w:rPr>
        <w:t xml:space="preserve"> Policy</w:t>
      </w:r>
    </w:p>
    <w:p w14:paraId="697D8D42" w14:textId="77777777" w:rsidR="00031904" w:rsidRPr="002A4461" w:rsidRDefault="00031904" w:rsidP="00031904">
      <w:pPr>
        <w:pStyle w:val="p4"/>
        <w:rPr>
          <w:rFonts w:ascii="Arial" w:hAnsi="Arial" w:cs="Arial"/>
        </w:rPr>
      </w:pPr>
    </w:p>
    <w:p w14:paraId="10A1049B" w14:textId="77777777" w:rsidR="00031904" w:rsidRPr="002A4461" w:rsidRDefault="00031904" w:rsidP="00031904">
      <w:pPr>
        <w:pStyle w:val="p3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Version:</w:t>
      </w:r>
      <w:r w:rsidRPr="002A4461">
        <w:rPr>
          <w:rFonts w:ascii="Arial" w:hAnsi="Arial" w:cs="Arial"/>
        </w:rPr>
        <w:t xml:space="preserve"> 1.0</w:t>
      </w:r>
    </w:p>
    <w:p w14:paraId="0C3A69CE" w14:textId="77777777" w:rsidR="00031904" w:rsidRPr="002A4461" w:rsidRDefault="00031904" w:rsidP="00031904">
      <w:pPr>
        <w:pStyle w:val="p3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Datum:</w:t>
      </w:r>
      <w:r w:rsidRPr="002A4461">
        <w:rPr>
          <w:rFonts w:ascii="Arial" w:hAnsi="Arial" w:cs="Arial"/>
        </w:rPr>
        <w:t xml:space="preserve"> [</w:t>
      </w:r>
      <w:proofErr w:type="spellStart"/>
      <w:r w:rsidRPr="002A4461">
        <w:rPr>
          <w:rFonts w:ascii="Arial" w:hAnsi="Arial" w:cs="Arial"/>
        </w:rPr>
        <w:t>Einfügedatum</w:t>
      </w:r>
      <w:proofErr w:type="spellEnd"/>
      <w:r w:rsidRPr="002A4461">
        <w:rPr>
          <w:rFonts w:ascii="Arial" w:hAnsi="Arial" w:cs="Arial"/>
        </w:rPr>
        <w:t>]</w:t>
      </w:r>
    </w:p>
    <w:p w14:paraId="37F9BFDB" w14:textId="77777777" w:rsidR="00031904" w:rsidRPr="002A4461" w:rsidRDefault="00031904" w:rsidP="00031904">
      <w:pPr>
        <w:pStyle w:val="p3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Verantwortlich:</w:t>
      </w:r>
      <w:r w:rsidRPr="002A4461">
        <w:rPr>
          <w:rFonts w:ascii="Arial" w:hAnsi="Arial" w:cs="Arial"/>
        </w:rPr>
        <w:t xml:space="preserve"> </w:t>
      </w:r>
      <w:proofErr w:type="gramStart"/>
      <w:r w:rsidRPr="002A4461">
        <w:rPr>
          <w:rFonts w:ascii="Arial" w:hAnsi="Arial" w:cs="Arial"/>
        </w:rPr>
        <w:t>SOC Manager</w:t>
      </w:r>
      <w:proofErr w:type="gramEnd"/>
    </w:p>
    <w:p w14:paraId="0341FAFF" w14:textId="77777777" w:rsidR="00031904" w:rsidRPr="002A4461" w:rsidRDefault="00031904" w:rsidP="00031904">
      <w:pPr>
        <w:pStyle w:val="p3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Genehmigt durch:</w:t>
      </w:r>
      <w:r w:rsidRPr="002A4461">
        <w:rPr>
          <w:rFonts w:ascii="Arial" w:hAnsi="Arial" w:cs="Arial"/>
        </w:rPr>
        <w:t xml:space="preserve"> [Name des Sicherheitsbeauftragten]</w:t>
      </w:r>
    </w:p>
    <w:p w14:paraId="1546B23A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54300748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1. Zweck der Policy</w:t>
      </w:r>
    </w:p>
    <w:p w14:paraId="51942614" w14:textId="77777777" w:rsidR="00031904" w:rsidRPr="002A4461" w:rsidRDefault="00031904" w:rsidP="00031904">
      <w:pPr>
        <w:pStyle w:val="p4"/>
        <w:rPr>
          <w:rFonts w:ascii="Arial" w:hAnsi="Arial" w:cs="Arial"/>
        </w:rPr>
      </w:pPr>
    </w:p>
    <w:p w14:paraId="3B85ADB3" w14:textId="77777777" w:rsidR="00031904" w:rsidRPr="002A4461" w:rsidRDefault="00031904" w:rsidP="00031904">
      <w:pPr>
        <w:pStyle w:val="p3"/>
        <w:rPr>
          <w:rFonts w:ascii="Arial" w:hAnsi="Arial" w:cs="Arial"/>
        </w:rPr>
      </w:pPr>
      <w:r w:rsidRPr="002A4461">
        <w:rPr>
          <w:rFonts w:ascii="Arial" w:hAnsi="Arial" w:cs="Arial"/>
        </w:rPr>
        <w:t xml:space="preserve">Diese </w:t>
      </w:r>
      <w:proofErr w:type="gramStart"/>
      <w:r w:rsidRPr="002A4461">
        <w:rPr>
          <w:rFonts w:ascii="Arial" w:hAnsi="Arial" w:cs="Arial"/>
        </w:rPr>
        <w:t>Change Management</w:t>
      </w:r>
      <w:proofErr w:type="gramEnd"/>
      <w:r w:rsidRPr="002A4461">
        <w:rPr>
          <w:rFonts w:ascii="Arial" w:hAnsi="Arial" w:cs="Arial"/>
        </w:rPr>
        <w:t xml:space="preserve"> Policy beschreibt die Prozesse und Verfahren zur Identifikation, Planung, Genehmigung, Umsetzung und Überwachung von Änderungen an der Infrastruktur, den Tools und Prozessen des Security </w:t>
      </w:r>
      <w:proofErr w:type="spellStart"/>
      <w:r w:rsidRPr="002A4461">
        <w:rPr>
          <w:rFonts w:ascii="Arial" w:hAnsi="Arial" w:cs="Arial"/>
        </w:rPr>
        <w:t>Operations</w:t>
      </w:r>
      <w:proofErr w:type="spellEnd"/>
      <w:r w:rsidRPr="002A4461">
        <w:rPr>
          <w:rFonts w:ascii="Arial" w:hAnsi="Arial" w:cs="Arial"/>
        </w:rPr>
        <w:t xml:space="preserve"> Centers (SOC). Ziel ist es, potenzielle Risiken zu minimieren, die Stabilität und Sicherheit des SOC zu gewährleisten und die Einhaltung regulatorischer Anforderungen sicherzustellen.</w:t>
      </w:r>
    </w:p>
    <w:p w14:paraId="12657D1A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5A7D1673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2. Geltungsbereich</w:t>
      </w:r>
    </w:p>
    <w:p w14:paraId="0BD328F9" w14:textId="77777777" w:rsidR="00031904" w:rsidRPr="002A4461" w:rsidRDefault="00031904" w:rsidP="00031904">
      <w:pPr>
        <w:pStyle w:val="p4"/>
        <w:rPr>
          <w:rFonts w:ascii="Arial" w:hAnsi="Arial" w:cs="Arial"/>
        </w:rPr>
      </w:pPr>
    </w:p>
    <w:p w14:paraId="3ED7A136" w14:textId="77777777" w:rsidR="00031904" w:rsidRPr="002A4461" w:rsidRDefault="00031904" w:rsidP="00031904">
      <w:pPr>
        <w:pStyle w:val="p3"/>
        <w:rPr>
          <w:rFonts w:ascii="Arial" w:hAnsi="Arial" w:cs="Arial"/>
        </w:rPr>
      </w:pPr>
      <w:r w:rsidRPr="002A4461">
        <w:rPr>
          <w:rFonts w:ascii="Arial" w:hAnsi="Arial" w:cs="Arial"/>
        </w:rPr>
        <w:t>Diese Policy gilt für alle Mitarbeiter, Drittanbieter und Partner, die Änderungen an den SOC-Systemen oder -Prozessen vornehmen. Sie umfasst folgende Bereiche:</w:t>
      </w:r>
    </w:p>
    <w:p w14:paraId="71507CC4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Software- und Hardwareänderungen.</w:t>
      </w:r>
    </w:p>
    <w:p w14:paraId="37CF577A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Änderungen an Sicherheitsrichtlinien, Playbooks und Prozessen.</w:t>
      </w:r>
    </w:p>
    <w:p w14:paraId="285BA8EE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Updates oder Upgrades an SOC-Tools (z. B. SIEM, SOAR).</w:t>
      </w:r>
    </w:p>
    <w:p w14:paraId="5F6C827C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Änderungen an der Netzwerk- und Infrastrukturkonfiguration.</w:t>
      </w:r>
    </w:p>
    <w:p w14:paraId="60D6A896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260E5EA8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3. Ziele</w:t>
      </w:r>
    </w:p>
    <w:p w14:paraId="1052168B" w14:textId="18137D56" w:rsidR="00031904" w:rsidRPr="002A4461" w:rsidRDefault="00031904" w:rsidP="00F803A0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Sicherstellung, dass alle Änderungen strukturiert und kontrolliert durchgeführt werden.</w:t>
      </w:r>
    </w:p>
    <w:p w14:paraId="38379F39" w14:textId="02DA0A81" w:rsidR="00031904" w:rsidRPr="002A4461" w:rsidRDefault="00031904" w:rsidP="00F803A0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Vermeidung von Ausfallzeiten oder Sicherheitsrisiken durch nicht autorisierte Änderungen.</w:t>
      </w:r>
    </w:p>
    <w:p w14:paraId="48E4278C" w14:textId="609AFEA5" w:rsidR="00031904" w:rsidRPr="002A4461" w:rsidRDefault="00031904" w:rsidP="00F803A0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Dokumentation und Nachverfolgbarkeit aller Änderungen.</w:t>
      </w:r>
    </w:p>
    <w:p w14:paraId="73CDF787" w14:textId="5697FD47" w:rsidR="00031904" w:rsidRPr="002A4461" w:rsidRDefault="00031904" w:rsidP="00F803A0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Förderung der Kommunikation zwischen Teams, die von Änderungen betroffen sind.</w:t>
      </w:r>
    </w:p>
    <w:p w14:paraId="3F9DF5CC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29EB6169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4. Rollen und Verantwortlichkeiten</w:t>
      </w: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2515"/>
        <w:gridCol w:w="6552"/>
      </w:tblGrid>
      <w:tr w:rsidR="000F09A3" w:rsidRPr="00997AE5" w14:paraId="6F75FA72" w14:textId="77777777" w:rsidTr="000F0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10FD3FD2" w14:textId="34D03E1C" w:rsidR="000F09A3" w:rsidRPr="000F09A3" w:rsidRDefault="000F09A3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0F09A3">
              <w:rPr>
                <w:rFonts w:ascii="Arial" w:hAnsi="Arial" w:cs="Arial"/>
                <w:b/>
                <w:bCs/>
                <w:sz w:val="21"/>
                <w:szCs w:val="21"/>
              </w:rPr>
              <w:t>Rolle</w:t>
            </w:r>
          </w:p>
        </w:tc>
        <w:tc>
          <w:tcPr>
            <w:tcW w:w="7304" w:type="dxa"/>
          </w:tcPr>
          <w:p w14:paraId="5E86222B" w14:textId="073B3425" w:rsidR="000F09A3" w:rsidRPr="000F09A3" w:rsidRDefault="000F09A3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0F09A3">
              <w:rPr>
                <w:rFonts w:ascii="Arial" w:hAnsi="Arial" w:cs="Arial"/>
                <w:b/>
                <w:bCs/>
                <w:sz w:val="21"/>
                <w:szCs w:val="21"/>
              </w:rPr>
              <w:t>Verantwortlichkeiten</w:t>
            </w:r>
          </w:p>
        </w:tc>
      </w:tr>
      <w:tr w:rsidR="000F09A3" w:rsidRPr="00997AE5" w14:paraId="33A622C6" w14:textId="77777777" w:rsidTr="000F09A3">
        <w:tc>
          <w:tcPr>
            <w:tcW w:w="1763" w:type="dxa"/>
          </w:tcPr>
          <w:p w14:paraId="1C15C9F3" w14:textId="6D4288C2" w:rsidR="000F09A3" w:rsidRPr="000F09A3" w:rsidRDefault="000F09A3" w:rsidP="00F1048C">
            <w:pPr>
              <w:pStyle w:val="p5"/>
              <w:rPr>
                <w:rFonts w:ascii="Arial" w:hAnsi="Arial" w:cs="Arial"/>
              </w:rPr>
            </w:pPr>
            <w:r w:rsidRPr="000F09A3">
              <w:rPr>
                <w:rFonts w:ascii="Arial" w:hAnsi="Arial" w:cs="Arial"/>
              </w:rPr>
              <w:t>Change</w:t>
            </w:r>
            <w:r w:rsidRPr="000F09A3">
              <w:rPr>
                <w:rFonts w:ascii="Arial" w:hAnsi="Arial" w:cs="Arial"/>
              </w:rPr>
              <w:t xml:space="preserve"> </w:t>
            </w:r>
            <w:r w:rsidRPr="000F09A3">
              <w:rPr>
                <w:rFonts w:ascii="Arial" w:hAnsi="Arial" w:cs="Arial"/>
              </w:rPr>
              <w:t>Initiator</w:t>
            </w:r>
          </w:p>
        </w:tc>
        <w:tc>
          <w:tcPr>
            <w:tcW w:w="7304" w:type="dxa"/>
          </w:tcPr>
          <w:p w14:paraId="0AF11D5D" w14:textId="642041FF" w:rsidR="000F09A3" w:rsidRPr="000F09A3" w:rsidRDefault="000F09A3" w:rsidP="000F09A3">
            <w:pPr>
              <w:rPr>
                <w:rFonts w:ascii="Arial" w:hAnsi="Arial" w:cs="Arial"/>
                <w:sz w:val="21"/>
                <w:szCs w:val="21"/>
              </w:rPr>
            </w:pPr>
            <w:r w:rsidRPr="000F09A3">
              <w:rPr>
                <w:rFonts w:ascii="Arial" w:hAnsi="Arial" w:cs="Arial"/>
                <w:sz w:val="21"/>
                <w:szCs w:val="21"/>
              </w:rPr>
              <w:t>Identifiziert die notwendige Änderung, erstellt den Änderungsantrag</w:t>
            </w:r>
            <w:r w:rsidRPr="000F09A3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0F09A3">
              <w:rPr>
                <w:rFonts w:ascii="Arial" w:hAnsi="Arial" w:cs="Arial"/>
                <w:sz w:val="21"/>
                <w:szCs w:val="21"/>
              </w:rPr>
              <w:t>(Change Request).</w:t>
            </w:r>
          </w:p>
        </w:tc>
      </w:tr>
      <w:tr w:rsidR="000F09A3" w:rsidRPr="00997AE5" w14:paraId="5688F3C6" w14:textId="77777777" w:rsidTr="000F09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0790C2B3" w14:textId="08AC91EA" w:rsidR="000F09A3" w:rsidRPr="000F09A3" w:rsidRDefault="000F09A3" w:rsidP="00F1048C">
            <w:pPr>
              <w:pStyle w:val="p5"/>
              <w:rPr>
                <w:rFonts w:ascii="Arial" w:hAnsi="Arial" w:cs="Arial"/>
              </w:rPr>
            </w:pPr>
            <w:r w:rsidRPr="000F09A3">
              <w:rPr>
                <w:rFonts w:ascii="Arial" w:hAnsi="Arial" w:cs="Arial"/>
                <w:b/>
                <w:bCs/>
              </w:rPr>
              <w:t>Change Manager</w:t>
            </w:r>
          </w:p>
        </w:tc>
        <w:tc>
          <w:tcPr>
            <w:tcW w:w="7304" w:type="dxa"/>
          </w:tcPr>
          <w:p w14:paraId="578A0C6A" w14:textId="546F3575" w:rsidR="000F09A3" w:rsidRPr="000F09A3" w:rsidRDefault="000F09A3" w:rsidP="000F09A3">
            <w:pPr>
              <w:rPr>
                <w:rFonts w:ascii="Arial" w:hAnsi="Arial" w:cs="Arial"/>
                <w:sz w:val="21"/>
                <w:szCs w:val="21"/>
              </w:rPr>
            </w:pPr>
            <w:r w:rsidRPr="000F09A3">
              <w:rPr>
                <w:rFonts w:ascii="Arial" w:hAnsi="Arial" w:cs="Arial"/>
                <w:sz w:val="21"/>
                <w:szCs w:val="21"/>
              </w:rPr>
              <w:t>Überwacht den gesamten Änderungsprozess, koordiniert Genehmigungen und Implementierung.</w:t>
            </w:r>
          </w:p>
        </w:tc>
      </w:tr>
      <w:tr w:rsidR="000F09A3" w:rsidRPr="00997AE5" w14:paraId="599E3D67" w14:textId="77777777" w:rsidTr="000F09A3">
        <w:tc>
          <w:tcPr>
            <w:tcW w:w="1763" w:type="dxa"/>
          </w:tcPr>
          <w:p w14:paraId="5EFCD65C" w14:textId="74DAA190" w:rsidR="000F09A3" w:rsidRPr="000F09A3" w:rsidRDefault="000F09A3" w:rsidP="00F1048C">
            <w:pPr>
              <w:pStyle w:val="p5"/>
              <w:rPr>
                <w:rFonts w:ascii="Arial" w:hAnsi="Arial" w:cs="Arial"/>
              </w:rPr>
            </w:pPr>
            <w:r w:rsidRPr="000F09A3">
              <w:rPr>
                <w:rFonts w:ascii="Arial" w:hAnsi="Arial" w:cs="Arial"/>
                <w:b/>
                <w:bCs/>
              </w:rPr>
              <w:t>Change Advisory Board (CAB)</w:t>
            </w:r>
          </w:p>
        </w:tc>
        <w:tc>
          <w:tcPr>
            <w:tcW w:w="7304" w:type="dxa"/>
          </w:tcPr>
          <w:p w14:paraId="24B862B0" w14:textId="2734E215" w:rsidR="000F09A3" w:rsidRPr="000F09A3" w:rsidRDefault="000F09A3" w:rsidP="000F09A3">
            <w:pPr>
              <w:rPr>
                <w:rFonts w:ascii="Arial" w:hAnsi="Arial" w:cs="Arial"/>
                <w:sz w:val="21"/>
                <w:szCs w:val="21"/>
              </w:rPr>
            </w:pPr>
            <w:r w:rsidRPr="000F09A3">
              <w:rPr>
                <w:rFonts w:ascii="Arial" w:hAnsi="Arial" w:cs="Arial"/>
                <w:sz w:val="21"/>
                <w:szCs w:val="21"/>
              </w:rPr>
              <w:t>Prüft und genehmigt Änderungen, bewertet potenzielle Risiken und Auswirkungen.</w:t>
            </w:r>
          </w:p>
        </w:tc>
      </w:tr>
      <w:tr w:rsidR="000F09A3" w:rsidRPr="00997AE5" w14:paraId="1F343ABA" w14:textId="77777777" w:rsidTr="000F09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26A66DC3" w14:textId="48913930" w:rsidR="000F09A3" w:rsidRPr="000F09A3" w:rsidRDefault="000F09A3" w:rsidP="00F1048C">
            <w:pPr>
              <w:pStyle w:val="p5"/>
              <w:rPr>
                <w:rFonts w:ascii="Arial" w:hAnsi="Arial" w:cs="Arial"/>
              </w:rPr>
            </w:pPr>
            <w:r w:rsidRPr="000F09A3">
              <w:rPr>
                <w:rFonts w:ascii="Arial" w:hAnsi="Arial" w:cs="Arial"/>
                <w:b/>
                <w:bCs/>
              </w:rPr>
              <w:t>Implementierungsteam</w:t>
            </w:r>
          </w:p>
        </w:tc>
        <w:tc>
          <w:tcPr>
            <w:tcW w:w="7304" w:type="dxa"/>
          </w:tcPr>
          <w:p w14:paraId="59CDA768" w14:textId="42DEDDCF" w:rsidR="000F09A3" w:rsidRPr="000F09A3" w:rsidRDefault="000F09A3" w:rsidP="000F09A3">
            <w:pPr>
              <w:rPr>
                <w:rFonts w:ascii="Arial" w:hAnsi="Arial" w:cs="Arial"/>
                <w:sz w:val="21"/>
                <w:szCs w:val="21"/>
              </w:rPr>
            </w:pPr>
            <w:r w:rsidRPr="000F09A3">
              <w:rPr>
                <w:rFonts w:ascii="Arial" w:hAnsi="Arial" w:cs="Arial"/>
                <w:sz w:val="21"/>
                <w:szCs w:val="21"/>
              </w:rPr>
              <w:t>Führt die genehmigten Änderungen gemäß dem festgelegten Plan durch.</w:t>
            </w:r>
          </w:p>
        </w:tc>
      </w:tr>
      <w:tr w:rsidR="000F09A3" w:rsidRPr="00997AE5" w14:paraId="7E2D636E" w14:textId="77777777" w:rsidTr="000F09A3">
        <w:tc>
          <w:tcPr>
            <w:tcW w:w="1763" w:type="dxa"/>
          </w:tcPr>
          <w:p w14:paraId="31BDAA71" w14:textId="2AC666F2" w:rsidR="000F09A3" w:rsidRPr="000F09A3" w:rsidRDefault="000F09A3" w:rsidP="00F1048C">
            <w:pPr>
              <w:pStyle w:val="p5"/>
              <w:rPr>
                <w:rFonts w:ascii="Arial" w:hAnsi="Arial" w:cs="Arial"/>
              </w:rPr>
            </w:pPr>
            <w:proofErr w:type="gramStart"/>
            <w:r w:rsidRPr="000F09A3">
              <w:rPr>
                <w:rFonts w:ascii="Arial" w:hAnsi="Arial" w:cs="Arial"/>
                <w:b/>
                <w:bCs/>
              </w:rPr>
              <w:lastRenderedPageBreak/>
              <w:t>SOC Manager</w:t>
            </w:r>
            <w:proofErr w:type="gramEnd"/>
          </w:p>
        </w:tc>
        <w:tc>
          <w:tcPr>
            <w:tcW w:w="7304" w:type="dxa"/>
          </w:tcPr>
          <w:p w14:paraId="544085B8" w14:textId="39BA9CDE" w:rsidR="000F09A3" w:rsidRPr="000F09A3" w:rsidRDefault="000F09A3" w:rsidP="000F09A3">
            <w:pPr>
              <w:rPr>
                <w:rFonts w:ascii="Arial" w:hAnsi="Arial" w:cs="Arial"/>
                <w:sz w:val="21"/>
                <w:szCs w:val="21"/>
              </w:rPr>
            </w:pPr>
            <w:r w:rsidRPr="000F09A3">
              <w:rPr>
                <w:rFonts w:ascii="Arial" w:hAnsi="Arial" w:cs="Arial"/>
                <w:sz w:val="21"/>
                <w:szCs w:val="21"/>
              </w:rPr>
              <w:t>Stellt sicher, dass die Policy eingehalten wird und dokumentiert alle Änderungen.</w:t>
            </w:r>
          </w:p>
        </w:tc>
      </w:tr>
    </w:tbl>
    <w:p w14:paraId="4604CBDE" w14:textId="77777777" w:rsidR="00031904" w:rsidRDefault="00031904" w:rsidP="00031904">
      <w:pPr>
        <w:pStyle w:val="p2"/>
        <w:rPr>
          <w:rFonts w:ascii="Arial" w:hAnsi="Arial" w:cs="Arial"/>
        </w:rPr>
      </w:pPr>
    </w:p>
    <w:p w14:paraId="14A01463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5C3ACE1D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5. Änderungsprozess</w:t>
      </w:r>
    </w:p>
    <w:p w14:paraId="5702188F" w14:textId="77777777" w:rsidR="00031904" w:rsidRPr="002A4461" w:rsidRDefault="00031904" w:rsidP="00031904">
      <w:pPr>
        <w:pStyle w:val="p4"/>
        <w:rPr>
          <w:rFonts w:ascii="Arial" w:hAnsi="Arial" w:cs="Arial"/>
        </w:rPr>
      </w:pPr>
    </w:p>
    <w:p w14:paraId="0675009E" w14:textId="77777777" w:rsidR="00031904" w:rsidRPr="002A4461" w:rsidRDefault="00031904" w:rsidP="00031904">
      <w:pPr>
        <w:pStyle w:val="p7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5.1 Änderungsantrag (Change Request)</w:t>
      </w:r>
    </w:p>
    <w:p w14:paraId="51A558A2" w14:textId="150CFFF5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Beschreibung:</w:t>
      </w:r>
      <w:r w:rsidRPr="002A4461">
        <w:rPr>
          <w:rFonts w:ascii="Arial" w:hAnsi="Arial" w:cs="Arial"/>
        </w:rPr>
        <w:t xml:space="preserve"> Der Change Initiator erstellt einen Änderungsantrag im Change-Management-Tool oder per Vorlage.</w:t>
      </w:r>
    </w:p>
    <w:p w14:paraId="4F461146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  <w:b/>
          <w:bCs/>
        </w:rPr>
        <w:t>Inhalt des Antrags:</w:t>
      </w:r>
    </w:p>
    <w:p w14:paraId="4E117CC6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Beschreibung der geplanten Änderung.</w:t>
      </w:r>
    </w:p>
    <w:p w14:paraId="0FECA9AD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Grund für die Änderung.</w:t>
      </w:r>
    </w:p>
    <w:p w14:paraId="0535FAFD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Betroffene Systeme und Prozesse.</w:t>
      </w:r>
    </w:p>
    <w:p w14:paraId="02EA64AD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Risikobewertung und potenzielle Auswirkungen.</w:t>
      </w:r>
    </w:p>
    <w:p w14:paraId="7524ED21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Rollback-Plan für den Fall einer Fehlfunktion.</w:t>
      </w:r>
    </w:p>
    <w:p w14:paraId="24A9F23E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26BF0A78" w14:textId="77777777" w:rsidR="00031904" w:rsidRPr="002A4461" w:rsidRDefault="00031904" w:rsidP="00031904">
      <w:pPr>
        <w:pStyle w:val="p7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5.2 Bewertung und Genehmigung</w:t>
      </w:r>
    </w:p>
    <w:p w14:paraId="0A015E30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Änderungen werden vom CAB bewertet, wobei folgende Kriterien berücksichtigt werden:</w:t>
      </w:r>
    </w:p>
    <w:p w14:paraId="7186FA94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Kritikalität der Änderung.</w:t>
      </w:r>
    </w:p>
    <w:p w14:paraId="6247E0DF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Risiko für den SOC-Betrieb.</w:t>
      </w:r>
    </w:p>
    <w:p w14:paraId="7A8AB46F" w14:textId="77777777" w:rsidR="00031904" w:rsidRPr="002A4461" w:rsidRDefault="00031904" w:rsidP="00031904">
      <w:pPr>
        <w:pStyle w:val="p8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Übereinstimmung mit den Sicherheitsrichtlinien.</w:t>
      </w:r>
    </w:p>
    <w:p w14:paraId="3638F5F8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Genehmigungen erfolgen durch den Change Manager und die relevanten Stakeholder.</w:t>
      </w:r>
    </w:p>
    <w:p w14:paraId="4240F74C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515BEE08" w14:textId="77777777" w:rsidR="00031904" w:rsidRPr="002A4461" w:rsidRDefault="00031904" w:rsidP="00031904">
      <w:pPr>
        <w:pStyle w:val="p7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5.3 Implementierung</w:t>
      </w:r>
    </w:p>
    <w:p w14:paraId="4EC7976D" w14:textId="08F82B81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Änderungen werden außerhalb der Geschäftszeiten durchgeführt, um Störungen zu minimieren.</w:t>
      </w:r>
    </w:p>
    <w:p w14:paraId="5A09075D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Dokumentation aller durchgeführten Schritte, einschließlich Testprotokolle.</w:t>
      </w:r>
    </w:p>
    <w:p w14:paraId="276C61AA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Kommunikation an alle betroffenen Teams vor und nach der Implementierung.</w:t>
      </w:r>
    </w:p>
    <w:p w14:paraId="03EB794C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7B991779" w14:textId="77777777" w:rsidR="00031904" w:rsidRPr="002A4461" w:rsidRDefault="00031904" w:rsidP="00031904">
      <w:pPr>
        <w:pStyle w:val="p7"/>
        <w:rPr>
          <w:rFonts w:ascii="Arial" w:hAnsi="Arial" w:cs="Arial"/>
        </w:rPr>
      </w:pPr>
      <w:r w:rsidRPr="002A4461">
        <w:rPr>
          <w:rFonts w:ascii="Arial" w:hAnsi="Arial" w:cs="Arial"/>
          <w:b/>
          <w:bCs/>
        </w:rPr>
        <w:t>5.4 Überwachung und Überprüfung</w:t>
      </w:r>
    </w:p>
    <w:p w14:paraId="3B266602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Nach Abschluss der Änderung wird die Funktionalität der Systeme überprüft.</w:t>
      </w:r>
    </w:p>
    <w:p w14:paraId="4B242787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Bei Problemen wird der Rollback-Plan ausgeführt.</w:t>
      </w:r>
    </w:p>
    <w:p w14:paraId="450D46DA" w14:textId="771B09AB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Eine Post-Implementation Review (PIR) wird durchgeführt, um den Erfolg der Änderung zu bewerten.</w:t>
      </w:r>
    </w:p>
    <w:p w14:paraId="2963E6BF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78980726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6. Notfalländerungen</w:t>
      </w:r>
    </w:p>
    <w:p w14:paraId="7B572DDE" w14:textId="455506C3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Notfalländerungen (z. B. für die Behebung kritischer Sicherheitslücken) dürfen ohne vorherige CAB-Genehmigung durchgeführt werden.</w:t>
      </w:r>
    </w:p>
    <w:p w14:paraId="5A87A199" w14:textId="6E7D4DC6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lastRenderedPageBreak/>
        <w:t xml:space="preserve">Der </w:t>
      </w:r>
      <w:proofErr w:type="gramStart"/>
      <w:r w:rsidRPr="002A4461">
        <w:rPr>
          <w:rFonts w:ascii="Arial" w:hAnsi="Arial" w:cs="Arial"/>
        </w:rPr>
        <w:t>SOC Manager</w:t>
      </w:r>
      <w:proofErr w:type="gramEnd"/>
      <w:r w:rsidRPr="002A4461">
        <w:rPr>
          <w:rFonts w:ascii="Arial" w:hAnsi="Arial" w:cs="Arial"/>
        </w:rPr>
        <w:t xml:space="preserve"> muss alle Notfalländerungen dokumentieren und zur nachträglichen Bewertung an den CAB weiterleiten.</w:t>
      </w:r>
    </w:p>
    <w:p w14:paraId="204F3F7A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1B42FD72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7. Eskalation</w:t>
      </w:r>
    </w:p>
    <w:p w14:paraId="7401B4E2" w14:textId="1384C270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Änderungen, die potenziell hohe Risiken bergen oder mehrere Teams betreffen, werden direkt an die Geschäftsführung eskaliert.</w:t>
      </w:r>
    </w:p>
    <w:p w14:paraId="00854455" w14:textId="05A62CC0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Der Change Manager koordiniert die Eskalation und informiert alle relevanten Stakeholder.</w:t>
      </w:r>
    </w:p>
    <w:p w14:paraId="139B1885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40085D2A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8. Überprüfung und Aktualisierung</w:t>
      </w:r>
    </w:p>
    <w:p w14:paraId="1BEAF81A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Diese Policy wird jährlich überprüft und bei Bedarf aktualisiert.</w:t>
      </w:r>
    </w:p>
    <w:p w14:paraId="203CC587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 xml:space="preserve">Änderungen an der Policy werden durch den </w:t>
      </w:r>
      <w:proofErr w:type="gramStart"/>
      <w:r w:rsidRPr="002A4461">
        <w:rPr>
          <w:rFonts w:ascii="Arial" w:hAnsi="Arial" w:cs="Arial"/>
        </w:rPr>
        <w:t>SOC Manager</w:t>
      </w:r>
      <w:proofErr w:type="gramEnd"/>
      <w:r w:rsidRPr="002A4461">
        <w:rPr>
          <w:rFonts w:ascii="Arial" w:hAnsi="Arial" w:cs="Arial"/>
        </w:rPr>
        <w:t xml:space="preserve"> und den CAB genehmigt.</w:t>
      </w:r>
    </w:p>
    <w:p w14:paraId="56729BD7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05D1721B" w14:textId="77777777" w:rsidR="00031904" w:rsidRPr="002A4461" w:rsidRDefault="00031904" w:rsidP="00031904">
      <w:pPr>
        <w:pStyle w:val="berschrift2"/>
        <w:rPr>
          <w:rFonts w:ascii="Arial" w:hAnsi="Arial" w:cs="Arial"/>
        </w:rPr>
      </w:pPr>
      <w:r w:rsidRPr="002A4461">
        <w:rPr>
          <w:rFonts w:ascii="Arial" w:hAnsi="Arial" w:cs="Arial"/>
          <w:b/>
          <w:color w:val="51358C"/>
        </w:rPr>
        <w:t>9. Dokumentation und Tools</w:t>
      </w:r>
    </w:p>
    <w:p w14:paraId="4F1337F8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Alle Änderungen werden in einem zentralen Change-Management-Tool dokumentiert.</w:t>
      </w:r>
    </w:p>
    <w:p w14:paraId="2F570DD8" w14:textId="1A195F6D" w:rsidR="00031904" w:rsidRPr="002A4461" w:rsidRDefault="00031904" w:rsidP="00F803A0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2A4461">
        <w:rPr>
          <w:rFonts w:ascii="Arial" w:hAnsi="Arial" w:cs="Arial"/>
        </w:rPr>
        <w:t>Tools wie Jira, ServiceNow oder ein internes SOC-Dokumentationssystem werden empfohlen.</w:t>
      </w:r>
    </w:p>
    <w:p w14:paraId="39BAEEC3" w14:textId="77777777" w:rsidR="00031904" w:rsidRPr="002A4461" w:rsidRDefault="00031904" w:rsidP="00031904">
      <w:pPr>
        <w:pStyle w:val="p2"/>
        <w:rPr>
          <w:rFonts w:ascii="Arial" w:hAnsi="Arial" w:cs="Arial"/>
        </w:rPr>
      </w:pPr>
    </w:p>
    <w:p w14:paraId="536679C4" w14:textId="77777777" w:rsidR="00031904" w:rsidRPr="002A4461" w:rsidRDefault="00031904" w:rsidP="00031904">
      <w:pPr>
        <w:pStyle w:val="berschrift2"/>
        <w:rPr>
          <w:rFonts w:ascii="Arial" w:hAnsi="Arial" w:cs="Arial"/>
          <w:b/>
          <w:color w:val="51358C"/>
        </w:rPr>
      </w:pPr>
      <w:r w:rsidRPr="002A4461">
        <w:rPr>
          <w:rFonts w:ascii="Arial" w:hAnsi="Arial" w:cs="Arial"/>
          <w:b/>
          <w:color w:val="51358C"/>
        </w:rPr>
        <w:t>10. Compliance</w:t>
      </w:r>
    </w:p>
    <w:p w14:paraId="1D5A469F" w14:textId="77777777" w:rsidR="00031904" w:rsidRPr="002A4461" w:rsidRDefault="00031904" w:rsidP="00031904">
      <w:pPr>
        <w:pStyle w:val="p4"/>
        <w:rPr>
          <w:rFonts w:ascii="Arial" w:hAnsi="Arial" w:cs="Arial"/>
        </w:rPr>
      </w:pPr>
    </w:p>
    <w:p w14:paraId="2B540340" w14:textId="77777777" w:rsidR="00031904" w:rsidRPr="002A4461" w:rsidRDefault="00031904" w:rsidP="00031904">
      <w:pPr>
        <w:pStyle w:val="p3"/>
        <w:rPr>
          <w:rFonts w:ascii="Arial" w:hAnsi="Arial" w:cs="Arial"/>
        </w:rPr>
      </w:pPr>
      <w:r w:rsidRPr="002A4461">
        <w:rPr>
          <w:rFonts w:ascii="Arial" w:hAnsi="Arial" w:cs="Arial"/>
        </w:rPr>
        <w:t>Diese Policy stellt die Einhaltung folgender Standards sicher:</w:t>
      </w:r>
    </w:p>
    <w:p w14:paraId="510D7EA6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ISO/IEC 27001: Informationssicherheits-Managementsystem.</w:t>
      </w:r>
    </w:p>
    <w:p w14:paraId="0DC07C53" w14:textId="77777777" w:rsidR="00031904" w:rsidRPr="002A4461" w:rsidRDefault="00031904" w:rsidP="00031904">
      <w:pPr>
        <w:pStyle w:val="p5"/>
        <w:rPr>
          <w:rFonts w:ascii="Arial" w:hAnsi="Arial" w:cs="Arial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•</w:t>
      </w: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</w:rPr>
        <w:t>NIS2: Netzwerk- und Informationssicherheit.</w:t>
      </w:r>
    </w:p>
    <w:p w14:paraId="12A0CFCD" w14:textId="6D6FEB64" w:rsidR="00B81CA7" w:rsidRPr="002A4461" w:rsidRDefault="00031904" w:rsidP="00031904">
      <w:pPr>
        <w:pStyle w:val="p5"/>
        <w:rPr>
          <w:rFonts w:ascii="Arial" w:hAnsi="Arial" w:cs="Arial"/>
          <w:lang w:val="en-US"/>
        </w:rPr>
      </w:pPr>
      <w:r w:rsidRPr="002A4461">
        <w:rPr>
          <w:rStyle w:val="apple-tab-span"/>
          <w:rFonts w:ascii="Arial" w:hAnsi="Arial" w:cs="Arial"/>
        </w:rPr>
        <w:tab/>
      </w:r>
      <w:r w:rsidRPr="002A4461">
        <w:rPr>
          <w:rFonts w:ascii="Arial" w:hAnsi="Arial" w:cs="Arial"/>
          <w:lang w:val="en-US"/>
        </w:rPr>
        <w:t>•</w:t>
      </w:r>
      <w:r w:rsidRPr="002A4461">
        <w:rPr>
          <w:rStyle w:val="apple-tab-span"/>
          <w:rFonts w:ascii="Arial" w:hAnsi="Arial" w:cs="Arial"/>
          <w:lang w:val="en-US"/>
        </w:rPr>
        <w:tab/>
      </w:r>
      <w:r w:rsidRPr="002A4461">
        <w:rPr>
          <w:rFonts w:ascii="Arial" w:hAnsi="Arial" w:cs="Arial"/>
          <w:lang w:val="en-US"/>
        </w:rPr>
        <w:t>DORA: Digital Operational Resilience Act.</w:t>
      </w:r>
    </w:p>
    <w:sectPr w:rsidR="00B81CA7" w:rsidRPr="002A446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78877" w14:textId="77777777" w:rsidR="001A2844" w:rsidRDefault="001A2844" w:rsidP="002A4461">
      <w:r>
        <w:separator/>
      </w:r>
    </w:p>
  </w:endnote>
  <w:endnote w:type="continuationSeparator" w:id="0">
    <w:p w14:paraId="642D2189" w14:textId="77777777" w:rsidR="001A2844" w:rsidRDefault="001A2844" w:rsidP="002A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CB646" w14:textId="5A9D2654" w:rsidR="002A4461" w:rsidRPr="002A4461" w:rsidRDefault="002A4461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143F8" w14:textId="77777777" w:rsidR="001A2844" w:rsidRDefault="001A2844" w:rsidP="002A4461">
      <w:r>
        <w:separator/>
      </w:r>
    </w:p>
  </w:footnote>
  <w:footnote w:type="continuationSeparator" w:id="0">
    <w:p w14:paraId="4321452F" w14:textId="77777777" w:rsidR="001A2844" w:rsidRDefault="001A2844" w:rsidP="002A4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F9065" w14:textId="5BC4134A" w:rsidR="002A4461" w:rsidRDefault="002A4461" w:rsidP="002A4461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1A851075" wp14:editId="7DD52946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7D6D"/>
    <w:multiLevelType w:val="hybridMultilevel"/>
    <w:tmpl w:val="383A58DA"/>
    <w:lvl w:ilvl="0" w:tplc="D78A553A">
      <w:start w:val="5"/>
      <w:numFmt w:val="bullet"/>
      <w:lvlText w:val="•"/>
      <w:lvlJc w:val="left"/>
      <w:pPr>
        <w:ind w:left="900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20895488"/>
    <w:multiLevelType w:val="hybridMultilevel"/>
    <w:tmpl w:val="4A3403B4"/>
    <w:lvl w:ilvl="0" w:tplc="D78A553A">
      <w:start w:val="5"/>
      <w:numFmt w:val="bullet"/>
      <w:lvlText w:val="•"/>
      <w:lvlJc w:val="left"/>
      <w:pPr>
        <w:ind w:left="900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36B5AB5"/>
    <w:multiLevelType w:val="hybridMultilevel"/>
    <w:tmpl w:val="B046226C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3F846C5A"/>
    <w:multiLevelType w:val="hybridMultilevel"/>
    <w:tmpl w:val="5A6EA0A8"/>
    <w:lvl w:ilvl="0" w:tplc="D78A553A">
      <w:start w:val="5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4C227663"/>
    <w:multiLevelType w:val="hybridMultilevel"/>
    <w:tmpl w:val="FBE42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24262"/>
    <w:multiLevelType w:val="hybridMultilevel"/>
    <w:tmpl w:val="B8C01D86"/>
    <w:lvl w:ilvl="0" w:tplc="0407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071659690">
    <w:abstractNumId w:val="4"/>
  </w:num>
  <w:num w:numId="2" w16cid:durableId="1114591045">
    <w:abstractNumId w:val="2"/>
  </w:num>
  <w:num w:numId="3" w16cid:durableId="120612923">
    <w:abstractNumId w:val="5"/>
  </w:num>
  <w:num w:numId="4" w16cid:durableId="1189300264">
    <w:abstractNumId w:val="3"/>
  </w:num>
  <w:num w:numId="5" w16cid:durableId="1664431557">
    <w:abstractNumId w:val="0"/>
  </w:num>
  <w:num w:numId="6" w16cid:durableId="27040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04"/>
    <w:rsid w:val="00031904"/>
    <w:rsid w:val="000F09A3"/>
    <w:rsid w:val="001A2844"/>
    <w:rsid w:val="002A4461"/>
    <w:rsid w:val="00681F61"/>
    <w:rsid w:val="006C2B25"/>
    <w:rsid w:val="00AF0D64"/>
    <w:rsid w:val="00B81CA7"/>
    <w:rsid w:val="00EE376C"/>
    <w:rsid w:val="00F43253"/>
    <w:rsid w:val="00F678CF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A34FD"/>
  <w15:chartTrackingRefBased/>
  <w15:docId w15:val="{82966888-A4A4-644A-A601-65BF1DCA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19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19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19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19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19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19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19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19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19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19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19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19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19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19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19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19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19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190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031904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031904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031904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031904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031904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031904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031904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8">
    <w:name w:val="p8"/>
    <w:basedOn w:val="Standard"/>
    <w:rsid w:val="00031904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031904"/>
  </w:style>
  <w:style w:type="paragraph" w:styleId="Kopfzeile">
    <w:name w:val="header"/>
    <w:basedOn w:val="Standard"/>
    <w:link w:val="KopfzeileZchn"/>
    <w:uiPriority w:val="99"/>
    <w:unhideWhenUsed/>
    <w:rsid w:val="002A44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A4461"/>
  </w:style>
  <w:style w:type="paragraph" w:styleId="Fuzeile">
    <w:name w:val="footer"/>
    <w:basedOn w:val="Standard"/>
    <w:link w:val="FuzeileZchn"/>
    <w:uiPriority w:val="99"/>
    <w:unhideWhenUsed/>
    <w:rsid w:val="002A446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A4461"/>
  </w:style>
  <w:style w:type="table" w:customStyle="1" w:styleId="Formatvorlage1">
    <w:name w:val="Formatvorlage1"/>
    <w:basedOn w:val="NormaleTabelle"/>
    <w:uiPriority w:val="99"/>
    <w:rsid w:val="000F09A3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5</cp:revision>
  <dcterms:created xsi:type="dcterms:W3CDTF">2025-01-07T12:32:00Z</dcterms:created>
  <dcterms:modified xsi:type="dcterms:W3CDTF">2025-01-07T18:23:00Z</dcterms:modified>
</cp:coreProperties>
</file>