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E063" w14:textId="77777777" w:rsidR="008E3789" w:rsidRPr="008216E9" w:rsidRDefault="008E3789" w:rsidP="008E3789">
      <w:pPr>
        <w:pStyle w:val="berschrift1"/>
        <w:rPr>
          <w:rFonts w:ascii="Arial" w:hAnsi="Arial" w:cs="Arial"/>
          <w:b/>
          <w:color w:val="51358C"/>
        </w:rPr>
      </w:pPr>
      <w:r w:rsidRPr="008216E9">
        <w:rPr>
          <w:rFonts w:ascii="Arial" w:hAnsi="Arial" w:cs="Arial"/>
          <w:b/>
          <w:color w:val="51358C"/>
        </w:rPr>
        <w:t>Security Incident Classification Matrix</w:t>
      </w:r>
    </w:p>
    <w:p w14:paraId="2D19DE40" w14:textId="77777777" w:rsidR="008E3789" w:rsidRPr="008216E9" w:rsidRDefault="008E3789" w:rsidP="008E3789">
      <w:pPr>
        <w:pStyle w:val="p4"/>
        <w:rPr>
          <w:rFonts w:ascii="Arial" w:hAnsi="Arial" w:cs="Arial"/>
          <w:lang w:val="en-US"/>
        </w:rPr>
      </w:pPr>
    </w:p>
    <w:p w14:paraId="546FFD63" w14:textId="77777777" w:rsidR="008E3789" w:rsidRPr="008216E9" w:rsidRDefault="008E3789" w:rsidP="008E3789">
      <w:pPr>
        <w:pStyle w:val="p3"/>
        <w:rPr>
          <w:rFonts w:ascii="Arial" w:hAnsi="Arial" w:cs="Arial"/>
          <w:lang w:val="en-US"/>
        </w:rPr>
      </w:pPr>
      <w:r w:rsidRPr="008216E9">
        <w:rPr>
          <w:rFonts w:ascii="Arial" w:hAnsi="Arial" w:cs="Arial"/>
          <w:b/>
          <w:bCs/>
          <w:lang w:val="en-US"/>
        </w:rPr>
        <w:t>Version:</w:t>
      </w:r>
      <w:r w:rsidRPr="008216E9">
        <w:rPr>
          <w:rFonts w:ascii="Arial" w:hAnsi="Arial" w:cs="Arial"/>
          <w:lang w:val="en-US"/>
        </w:rPr>
        <w:t xml:space="preserve"> 1.0</w:t>
      </w:r>
    </w:p>
    <w:p w14:paraId="6758AB62" w14:textId="77777777" w:rsidR="008E3789" w:rsidRPr="008216E9" w:rsidRDefault="008E3789" w:rsidP="008E3789">
      <w:pPr>
        <w:pStyle w:val="p3"/>
        <w:rPr>
          <w:rFonts w:ascii="Arial" w:hAnsi="Arial" w:cs="Arial"/>
        </w:rPr>
      </w:pPr>
      <w:r w:rsidRPr="008216E9">
        <w:rPr>
          <w:rFonts w:ascii="Arial" w:hAnsi="Arial" w:cs="Arial"/>
          <w:b/>
          <w:bCs/>
        </w:rPr>
        <w:t>Datum:</w:t>
      </w:r>
      <w:r w:rsidRPr="008216E9">
        <w:rPr>
          <w:rFonts w:ascii="Arial" w:hAnsi="Arial" w:cs="Arial"/>
        </w:rPr>
        <w:t xml:space="preserve"> [</w:t>
      </w:r>
      <w:proofErr w:type="spellStart"/>
      <w:r w:rsidRPr="008216E9">
        <w:rPr>
          <w:rFonts w:ascii="Arial" w:hAnsi="Arial" w:cs="Arial"/>
        </w:rPr>
        <w:t>Einfügedatum</w:t>
      </w:r>
      <w:proofErr w:type="spellEnd"/>
      <w:r w:rsidRPr="008216E9">
        <w:rPr>
          <w:rFonts w:ascii="Arial" w:hAnsi="Arial" w:cs="Arial"/>
        </w:rPr>
        <w:t>]</w:t>
      </w:r>
    </w:p>
    <w:p w14:paraId="4FB3C86F" w14:textId="77777777" w:rsidR="008E3789" w:rsidRPr="008216E9" w:rsidRDefault="008E3789" w:rsidP="008E3789">
      <w:pPr>
        <w:pStyle w:val="p3"/>
        <w:rPr>
          <w:rFonts w:ascii="Arial" w:hAnsi="Arial" w:cs="Arial"/>
        </w:rPr>
      </w:pPr>
      <w:r w:rsidRPr="008216E9">
        <w:rPr>
          <w:rFonts w:ascii="Arial" w:hAnsi="Arial" w:cs="Arial"/>
          <w:b/>
          <w:bCs/>
        </w:rPr>
        <w:t>Verantwortlich:</w:t>
      </w:r>
      <w:r w:rsidRPr="008216E9">
        <w:rPr>
          <w:rFonts w:ascii="Arial" w:hAnsi="Arial" w:cs="Arial"/>
        </w:rPr>
        <w:t xml:space="preserve"> </w:t>
      </w:r>
      <w:proofErr w:type="gramStart"/>
      <w:r w:rsidRPr="008216E9">
        <w:rPr>
          <w:rFonts w:ascii="Arial" w:hAnsi="Arial" w:cs="Arial"/>
        </w:rPr>
        <w:t>SOC Manager</w:t>
      </w:r>
      <w:proofErr w:type="gramEnd"/>
    </w:p>
    <w:p w14:paraId="3F1D3180" w14:textId="77777777" w:rsidR="008E3789" w:rsidRPr="008216E9" w:rsidRDefault="008E3789" w:rsidP="008E3789">
      <w:pPr>
        <w:pStyle w:val="p3"/>
        <w:rPr>
          <w:rFonts w:ascii="Arial" w:hAnsi="Arial" w:cs="Arial"/>
        </w:rPr>
      </w:pPr>
      <w:r w:rsidRPr="008216E9">
        <w:rPr>
          <w:rFonts w:ascii="Arial" w:hAnsi="Arial" w:cs="Arial"/>
          <w:b/>
          <w:bCs/>
        </w:rPr>
        <w:t>Genehmigt durch:</w:t>
      </w:r>
      <w:r w:rsidRPr="008216E9">
        <w:rPr>
          <w:rFonts w:ascii="Arial" w:hAnsi="Arial" w:cs="Arial"/>
        </w:rPr>
        <w:t xml:space="preserve"> [Name des Sicherheitsbeauftragten]</w:t>
      </w:r>
    </w:p>
    <w:p w14:paraId="5E00D9E8" w14:textId="77777777" w:rsidR="008E3789" w:rsidRPr="008216E9" w:rsidRDefault="008E3789" w:rsidP="008E3789">
      <w:pPr>
        <w:pStyle w:val="p2"/>
        <w:rPr>
          <w:rFonts w:ascii="Arial" w:hAnsi="Arial" w:cs="Arial"/>
        </w:rPr>
      </w:pPr>
    </w:p>
    <w:p w14:paraId="61B49463"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1. Zweck der Matrix</w:t>
      </w:r>
    </w:p>
    <w:p w14:paraId="67AD8483" w14:textId="77777777" w:rsidR="008E3789" w:rsidRPr="008216E9" w:rsidRDefault="008E3789" w:rsidP="008E3789">
      <w:pPr>
        <w:pStyle w:val="p4"/>
        <w:rPr>
          <w:rFonts w:ascii="Arial" w:hAnsi="Arial" w:cs="Arial"/>
        </w:rPr>
      </w:pPr>
    </w:p>
    <w:p w14:paraId="06C17AAC" w14:textId="77777777" w:rsidR="008E3789" w:rsidRPr="008216E9" w:rsidRDefault="008E3789" w:rsidP="008E3789">
      <w:pPr>
        <w:pStyle w:val="p3"/>
        <w:rPr>
          <w:rFonts w:ascii="Arial" w:hAnsi="Arial" w:cs="Arial"/>
        </w:rPr>
      </w:pPr>
      <w:r w:rsidRPr="008216E9">
        <w:rPr>
          <w:rFonts w:ascii="Arial" w:hAnsi="Arial" w:cs="Arial"/>
        </w:rPr>
        <w:t xml:space="preserve">Die Security </w:t>
      </w:r>
      <w:proofErr w:type="spellStart"/>
      <w:r w:rsidRPr="008216E9">
        <w:rPr>
          <w:rFonts w:ascii="Arial" w:hAnsi="Arial" w:cs="Arial"/>
        </w:rPr>
        <w:t>Incident</w:t>
      </w:r>
      <w:proofErr w:type="spellEnd"/>
      <w:r w:rsidRPr="008216E9">
        <w:rPr>
          <w:rFonts w:ascii="Arial" w:hAnsi="Arial" w:cs="Arial"/>
        </w:rPr>
        <w:t xml:space="preserve"> Classification Matrix dient der standardisierten Bewertung und Klassifizierung von Sicherheitsvorfällen basierend auf ihrer Kritikalität, ihrem Umfang und ihrer Auswirkung. Diese Klassifizierung hilft dabei, die geeigneten Reaktionsmaßnahmen zu bestimmen, Ressourcen effizient zuzuweisen und die Eskalation zu steuern.</w:t>
      </w:r>
    </w:p>
    <w:p w14:paraId="478BCD3C" w14:textId="77777777" w:rsidR="008E3789" w:rsidRPr="008216E9" w:rsidRDefault="008E3789" w:rsidP="008E3789">
      <w:pPr>
        <w:pStyle w:val="p2"/>
        <w:rPr>
          <w:rFonts w:ascii="Arial" w:hAnsi="Arial" w:cs="Arial"/>
        </w:rPr>
      </w:pPr>
    </w:p>
    <w:p w14:paraId="594D4BD7"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2. Geltungsbereich</w:t>
      </w:r>
    </w:p>
    <w:p w14:paraId="0563572B" w14:textId="77777777" w:rsidR="008E3789" w:rsidRPr="008216E9" w:rsidRDefault="008E3789" w:rsidP="008E3789">
      <w:pPr>
        <w:pStyle w:val="p4"/>
        <w:rPr>
          <w:rFonts w:ascii="Arial" w:hAnsi="Arial" w:cs="Arial"/>
        </w:rPr>
      </w:pPr>
    </w:p>
    <w:p w14:paraId="4F13BADA" w14:textId="77777777" w:rsidR="008E3789" w:rsidRPr="008216E9" w:rsidRDefault="008E3789" w:rsidP="008E3789">
      <w:pPr>
        <w:pStyle w:val="p3"/>
        <w:rPr>
          <w:rFonts w:ascii="Arial" w:hAnsi="Arial" w:cs="Arial"/>
        </w:rPr>
      </w:pPr>
      <w:r w:rsidRPr="008216E9">
        <w:rPr>
          <w:rFonts w:ascii="Arial" w:hAnsi="Arial" w:cs="Arial"/>
        </w:rPr>
        <w:t>Die Matrix gilt für alle Sicherheitsvorfälle, die im SOC gemeldet werden, einschließlich:</w:t>
      </w:r>
    </w:p>
    <w:p w14:paraId="42F419CF"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Technischer Vorfälle (z. B. Malware, DDoS-Angriffe).</w:t>
      </w:r>
    </w:p>
    <w:p w14:paraId="298EE128"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Physischer Vorfälle (z. B. unbefugter Zugang).</w:t>
      </w:r>
    </w:p>
    <w:p w14:paraId="696095E4"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Compliance-Vorfälle (z. B. Datenschutzverletzungen).</w:t>
      </w:r>
    </w:p>
    <w:p w14:paraId="39634E47" w14:textId="77777777" w:rsidR="008E3789" w:rsidRPr="008216E9" w:rsidRDefault="008E3789" w:rsidP="008E3789">
      <w:pPr>
        <w:pStyle w:val="p2"/>
        <w:rPr>
          <w:rFonts w:ascii="Arial" w:hAnsi="Arial" w:cs="Arial"/>
        </w:rPr>
      </w:pPr>
    </w:p>
    <w:p w14:paraId="31BEDCB3"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3. Kriterien für die Klassifizierung</w:t>
      </w:r>
    </w:p>
    <w:p w14:paraId="02258FE1" w14:textId="77777777" w:rsidR="008E3789" w:rsidRPr="008216E9" w:rsidRDefault="008E3789" w:rsidP="008E3789">
      <w:pPr>
        <w:pStyle w:val="p4"/>
        <w:rPr>
          <w:rFonts w:ascii="Arial" w:hAnsi="Arial" w:cs="Arial"/>
        </w:rPr>
      </w:pPr>
    </w:p>
    <w:p w14:paraId="760D5DD6" w14:textId="77777777" w:rsidR="008E3789" w:rsidRPr="008216E9" w:rsidRDefault="008E3789" w:rsidP="008E3789">
      <w:pPr>
        <w:pStyle w:val="p3"/>
        <w:rPr>
          <w:rFonts w:ascii="Arial" w:hAnsi="Arial" w:cs="Arial"/>
        </w:rPr>
      </w:pPr>
      <w:r w:rsidRPr="008216E9">
        <w:rPr>
          <w:rFonts w:ascii="Arial" w:hAnsi="Arial" w:cs="Arial"/>
        </w:rPr>
        <w:t>Die Matrix basiert auf folgenden Kriterien:</w:t>
      </w:r>
    </w:p>
    <w:p w14:paraId="79D5D64C"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Kritikalität:</w:t>
      </w:r>
      <w:r w:rsidRPr="008216E9">
        <w:rPr>
          <w:rFonts w:ascii="Arial" w:hAnsi="Arial" w:cs="Arial"/>
        </w:rPr>
        <w:t xml:space="preserve"> Wie schwerwiegend ist der Vorfall für die Organisation?</w:t>
      </w:r>
    </w:p>
    <w:p w14:paraId="1B8B269C"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Umfang:</w:t>
      </w:r>
      <w:r w:rsidRPr="008216E9">
        <w:rPr>
          <w:rFonts w:ascii="Arial" w:hAnsi="Arial" w:cs="Arial"/>
        </w:rPr>
        <w:t xml:space="preserve"> Wie viele Systeme, Benutzer oder Standorte sind betroffen?</w:t>
      </w:r>
    </w:p>
    <w:p w14:paraId="4454F208" w14:textId="2E7B6161" w:rsidR="008E3789" w:rsidRPr="008216E9" w:rsidRDefault="008E3789" w:rsidP="008216E9">
      <w:pPr>
        <w:pStyle w:val="p5"/>
        <w:numPr>
          <w:ilvl w:val="0"/>
          <w:numId w:val="2"/>
        </w:numPr>
        <w:rPr>
          <w:rFonts w:ascii="Arial" w:hAnsi="Arial" w:cs="Arial"/>
        </w:rPr>
      </w:pPr>
      <w:r w:rsidRPr="008216E9">
        <w:rPr>
          <w:rFonts w:ascii="Arial" w:hAnsi="Arial" w:cs="Arial"/>
          <w:b/>
          <w:bCs/>
        </w:rPr>
        <w:t>Auswirkungen:</w:t>
      </w:r>
      <w:r w:rsidRPr="008216E9">
        <w:rPr>
          <w:rFonts w:ascii="Arial" w:hAnsi="Arial" w:cs="Arial"/>
        </w:rPr>
        <w:t xml:space="preserve"> Welche Auswirkungen hat der Vorfall auf Verfügbarkeit, Vertraulichkeit und Integrität?</w:t>
      </w:r>
    </w:p>
    <w:p w14:paraId="09D60210"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Wiederherstellungszeit:</w:t>
      </w:r>
      <w:r w:rsidRPr="008216E9">
        <w:rPr>
          <w:rFonts w:ascii="Arial" w:hAnsi="Arial" w:cs="Arial"/>
        </w:rPr>
        <w:t xml:space="preserve"> Wie lange dauert es, den Vorfall zu beheben?</w:t>
      </w:r>
    </w:p>
    <w:p w14:paraId="7219DB87" w14:textId="77777777" w:rsidR="008E3789" w:rsidRPr="008216E9" w:rsidRDefault="008E3789" w:rsidP="008E3789">
      <w:pPr>
        <w:pStyle w:val="p2"/>
        <w:rPr>
          <w:rFonts w:ascii="Arial" w:hAnsi="Arial" w:cs="Arial"/>
        </w:rPr>
      </w:pPr>
    </w:p>
    <w:p w14:paraId="6507C154"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4. Klassifizierungsstufen</w:t>
      </w:r>
    </w:p>
    <w:tbl>
      <w:tblPr>
        <w:tblStyle w:val="Formatvorlage1"/>
        <w:tblW w:w="0" w:type="auto"/>
        <w:tblLook w:val="04A0" w:firstRow="1" w:lastRow="0" w:firstColumn="1" w:lastColumn="0" w:noHBand="0" w:noVBand="1"/>
      </w:tblPr>
      <w:tblGrid>
        <w:gridCol w:w="1746"/>
        <w:gridCol w:w="4628"/>
        <w:gridCol w:w="2688"/>
      </w:tblGrid>
      <w:tr w:rsidR="008216E9" w:rsidRPr="00997AE5" w14:paraId="1E1BD018" w14:textId="77777777" w:rsidTr="008216E9">
        <w:trPr>
          <w:cnfStyle w:val="100000000000" w:firstRow="1" w:lastRow="0" w:firstColumn="0" w:lastColumn="0" w:oddVBand="0" w:evenVBand="0" w:oddHBand="0" w:evenHBand="0" w:firstRowFirstColumn="0" w:firstRowLastColumn="0" w:lastRowFirstColumn="0" w:lastRowLastColumn="0"/>
        </w:trPr>
        <w:tc>
          <w:tcPr>
            <w:tcW w:w="1746" w:type="dxa"/>
          </w:tcPr>
          <w:p w14:paraId="33F8388B" w14:textId="73008519" w:rsidR="008216E9" w:rsidRPr="008216E9" w:rsidRDefault="008216E9" w:rsidP="008216E9">
            <w:pPr>
              <w:pStyle w:val="p2"/>
              <w:rPr>
                <w:rFonts w:ascii="Arial" w:hAnsi="Arial" w:cs="Arial"/>
                <w:sz w:val="21"/>
                <w:szCs w:val="21"/>
              </w:rPr>
            </w:pPr>
            <w:r w:rsidRPr="008216E9">
              <w:rPr>
                <w:rFonts w:ascii="Arial" w:hAnsi="Arial" w:cs="Arial"/>
                <w:b/>
                <w:bCs/>
                <w:sz w:val="21"/>
                <w:szCs w:val="21"/>
              </w:rPr>
              <w:t>Stufe</w:t>
            </w:r>
          </w:p>
        </w:tc>
        <w:tc>
          <w:tcPr>
            <w:tcW w:w="4628" w:type="dxa"/>
          </w:tcPr>
          <w:p w14:paraId="549DF4BA" w14:textId="524C32DB" w:rsidR="008216E9" w:rsidRPr="008216E9" w:rsidRDefault="008216E9" w:rsidP="008216E9">
            <w:pPr>
              <w:pStyle w:val="p2"/>
              <w:rPr>
                <w:rFonts w:ascii="Arial" w:hAnsi="Arial" w:cs="Arial"/>
                <w:sz w:val="21"/>
                <w:szCs w:val="21"/>
              </w:rPr>
            </w:pPr>
            <w:r w:rsidRPr="008216E9">
              <w:rPr>
                <w:rFonts w:ascii="Arial" w:hAnsi="Arial" w:cs="Arial"/>
                <w:b/>
                <w:bCs/>
                <w:sz w:val="21"/>
                <w:szCs w:val="21"/>
              </w:rPr>
              <w:t>Beschreibung</w:t>
            </w:r>
          </w:p>
        </w:tc>
        <w:tc>
          <w:tcPr>
            <w:tcW w:w="2688" w:type="dxa"/>
          </w:tcPr>
          <w:p w14:paraId="4AC2614E" w14:textId="7036EBB0" w:rsidR="008216E9" w:rsidRPr="008216E9" w:rsidRDefault="008216E9" w:rsidP="008216E9">
            <w:pPr>
              <w:pStyle w:val="p2"/>
              <w:rPr>
                <w:rFonts w:ascii="Arial" w:hAnsi="Arial" w:cs="Arial"/>
                <w:b/>
                <w:bCs/>
                <w:sz w:val="21"/>
                <w:szCs w:val="21"/>
              </w:rPr>
            </w:pPr>
            <w:r w:rsidRPr="008216E9">
              <w:rPr>
                <w:rFonts w:ascii="Arial" w:hAnsi="Arial" w:cs="Arial"/>
                <w:b/>
                <w:bCs/>
                <w:sz w:val="21"/>
                <w:szCs w:val="21"/>
              </w:rPr>
              <w:t>Beispiele</w:t>
            </w:r>
          </w:p>
        </w:tc>
      </w:tr>
      <w:tr w:rsidR="008216E9" w:rsidRPr="00997AE5" w14:paraId="18777FAF" w14:textId="77777777" w:rsidTr="008216E9">
        <w:tc>
          <w:tcPr>
            <w:tcW w:w="1746" w:type="dxa"/>
          </w:tcPr>
          <w:p w14:paraId="2C0AEBA2" w14:textId="4A54EFCF" w:rsidR="008216E9" w:rsidRPr="008216E9" w:rsidRDefault="008216E9" w:rsidP="008216E9">
            <w:pPr>
              <w:rPr>
                <w:rFonts w:ascii="Arial" w:hAnsi="Arial" w:cs="Arial"/>
                <w:sz w:val="21"/>
                <w:szCs w:val="21"/>
              </w:rPr>
            </w:pPr>
            <w:r w:rsidRPr="008216E9">
              <w:rPr>
                <w:rFonts w:ascii="Arial" w:hAnsi="Arial" w:cs="Arial"/>
                <w:sz w:val="21"/>
                <w:szCs w:val="21"/>
              </w:rPr>
              <w:t>Niedrig</w:t>
            </w:r>
          </w:p>
        </w:tc>
        <w:tc>
          <w:tcPr>
            <w:tcW w:w="4628" w:type="dxa"/>
          </w:tcPr>
          <w:p w14:paraId="39FE6132" w14:textId="61B63EB9" w:rsidR="008216E9" w:rsidRPr="008216E9" w:rsidRDefault="008216E9" w:rsidP="008216E9">
            <w:pPr>
              <w:rPr>
                <w:rFonts w:ascii="Arial" w:hAnsi="Arial" w:cs="Arial"/>
                <w:sz w:val="21"/>
                <w:szCs w:val="21"/>
              </w:rPr>
            </w:pPr>
            <w:r w:rsidRPr="008216E9">
              <w:rPr>
                <w:rFonts w:ascii="Arial" w:hAnsi="Arial" w:cs="Arial"/>
                <w:sz w:val="21"/>
                <w:szCs w:val="21"/>
              </w:rPr>
              <w:t>Begrenzt auf einen einzelnen Benutzer oder ein System. Keine signifikante Auswirkung auf die Organisation.</w:t>
            </w:r>
          </w:p>
        </w:tc>
        <w:tc>
          <w:tcPr>
            <w:tcW w:w="2688" w:type="dxa"/>
          </w:tcPr>
          <w:p w14:paraId="2B092259" w14:textId="27912290" w:rsidR="008216E9" w:rsidRPr="008216E9" w:rsidRDefault="008216E9" w:rsidP="008216E9">
            <w:pPr>
              <w:rPr>
                <w:rFonts w:ascii="Arial" w:hAnsi="Arial" w:cs="Arial"/>
                <w:sz w:val="21"/>
                <w:szCs w:val="21"/>
              </w:rPr>
            </w:pPr>
            <w:r w:rsidRPr="008216E9">
              <w:rPr>
                <w:rFonts w:ascii="Arial" w:hAnsi="Arial" w:cs="Arial"/>
                <w:sz w:val="21"/>
                <w:szCs w:val="21"/>
              </w:rPr>
              <w:t>Phishing-E-Mail, die keinen Schaden verursacht.</w:t>
            </w:r>
          </w:p>
        </w:tc>
      </w:tr>
      <w:tr w:rsidR="008216E9" w:rsidRPr="00997AE5" w14:paraId="0E0E08F7" w14:textId="77777777" w:rsidTr="008216E9">
        <w:trPr>
          <w:cnfStyle w:val="000000010000" w:firstRow="0" w:lastRow="0" w:firstColumn="0" w:lastColumn="0" w:oddVBand="0" w:evenVBand="0" w:oddHBand="0" w:evenHBand="1" w:firstRowFirstColumn="0" w:firstRowLastColumn="0" w:lastRowFirstColumn="0" w:lastRowLastColumn="0"/>
        </w:trPr>
        <w:tc>
          <w:tcPr>
            <w:tcW w:w="1746" w:type="dxa"/>
          </w:tcPr>
          <w:p w14:paraId="3B6A1DC3" w14:textId="27219B69" w:rsidR="008216E9" w:rsidRPr="008216E9" w:rsidRDefault="008216E9" w:rsidP="008216E9">
            <w:pPr>
              <w:rPr>
                <w:rFonts w:ascii="Arial" w:hAnsi="Arial" w:cs="Arial"/>
                <w:sz w:val="21"/>
                <w:szCs w:val="21"/>
              </w:rPr>
            </w:pPr>
            <w:r w:rsidRPr="008216E9">
              <w:rPr>
                <w:rFonts w:ascii="Arial" w:hAnsi="Arial" w:cs="Arial"/>
                <w:sz w:val="21"/>
                <w:szCs w:val="21"/>
              </w:rPr>
              <w:t>Mittel</w:t>
            </w:r>
          </w:p>
        </w:tc>
        <w:tc>
          <w:tcPr>
            <w:tcW w:w="4628" w:type="dxa"/>
          </w:tcPr>
          <w:p w14:paraId="71049CBA" w14:textId="60286D5B" w:rsidR="008216E9" w:rsidRPr="008216E9" w:rsidRDefault="008216E9" w:rsidP="008216E9">
            <w:pPr>
              <w:rPr>
                <w:rFonts w:ascii="Arial" w:hAnsi="Arial" w:cs="Arial"/>
                <w:sz w:val="21"/>
                <w:szCs w:val="21"/>
              </w:rPr>
            </w:pPr>
            <w:r w:rsidRPr="008216E9">
              <w:rPr>
                <w:rFonts w:ascii="Arial" w:hAnsi="Arial" w:cs="Arial"/>
                <w:sz w:val="21"/>
                <w:szCs w:val="21"/>
              </w:rPr>
              <w:t>Beeinträchtigt mehrere Benutzer oder Systeme. Mögliche Auswirkungen auf die Produktivität.</w:t>
            </w:r>
          </w:p>
        </w:tc>
        <w:tc>
          <w:tcPr>
            <w:tcW w:w="2688" w:type="dxa"/>
          </w:tcPr>
          <w:p w14:paraId="58FD7212" w14:textId="0FDF8E09" w:rsidR="008216E9" w:rsidRPr="008216E9" w:rsidRDefault="008216E9" w:rsidP="008216E9">
            <w:pPr>
              <w:rPr>
                <w:rFonts w:ascii="Arial" w:hAnsi="Arial" w:cs="Arial"/>
                <w:sz w:val="21"/>
                <w:szCs w:val="21"/>
              </w:rPr>
            </w:pPr>
            <w:r w:rsidRPr="008216E9">
              <w:rPr>
                <w:rFonts w:ascii="Arial" w:hAnsi="Arial" w:cs="Arial"/>
                <w:sz w:val="21"/>
                <w:szCs w:val="21"/>
              </w:rPr>
              <w:t>Malware auf einem Endpunkt ohne Ausbreitung.</w:t>
            </w:r>
          </w:p>
        </w:tc>
      </w:tr>
      <w:tr w:rsidR="008216E9" w:rsidRPr="00997AE5" w14:paraId="384C1E67" w14:textId="77777777" w:rsidTr="008216E9">
        <w:tc>
          <w:tcPr>
            <w:tcW w:w="1746" w:type="dxa"/>
          </w:tcPr>
          <w:p w14:paraId="4B7A98D6" w14:textId="7CAFA54B" w:rsidR="008216E9" w:rsidRPr="008216E9" w:rsidRDefault="008216E9" w:rsidP="008216E9">
            <w:pPr>
              <w:rPr>
                <w:rFonts w:ascii="Arial" w:hAnsi="Arial" w:cs="Arial"/>
                <w:sz w:val="21"/>
                <w:szCs w:val="21"/>
              </w:rPr>
            </w:pPr>
            <w:r w:rsidRPr="008216E9">
              <w:rPr>
                <w:rFonts w:ascii="Arial" w:hAnsi="Arial" w:cs="Arial"/>
                <w:sz w:val="21"/>
                <w:szCs w:val="21"/>
              </w:rPr>
              <w:t>Hoch</w:t>
            </w:r>
          </w:p>
        </w:tc>
        <w:tc>
          <w:tcPr>
            <w:tcW w:w="4628" w:type="dxa"/>
          </w:tcPr>
          <w:p w14:paraId="394630EB" w14:textId="37861C9D" w:rsidR="008216E9" w:rsidRPr="008216E9" w:rsidRDefault="008216E9" w:rsidP="008216E9">
            <w:pPr>
              <w:rPr>
                <w:rFonts w:ascii="Arial" w:hAnsi="Arial" w:cs="Arial"/>
                <w:sz w:val="21"/>
                <w:szCs w:val="21"/>
              </w:rPr>
            </w:pPr>
            <w:r w:rsidRPr="008216E9">
              <w:rPr>
                <w:rFonts w:ascii="Arial" w:hAnsi="Arial" w:cs="Arial"/>
                <w:sz w:val="21"/>
                <w:szCs w:val="21"/>
              </w:rPr>
              <w:t>Beeinträchtigt kritische Systeme oder Daten. Potenziell große Auswirkungen auf die Organisation.</w:t>
            </w:r>
          </w:p>
        </w:tc>
        <w:tc>
          <w:tcPr>
            <w:tcW w:w="2688" w:type="dxa"/>
          </w:tcPr>
          <w:p w14:paraId="54CF85C8" w14:textId="5CAE7E45" w:rsidR="008216E9" w:rsidRPr="008216E9" w:rsidRDefault="008216E9" w:rsidP="008216E9">
            <w:pPr>
              <w:rPr>
                <w:rFonts w:ascii="Arial" w:hAnsi="Arial" w:cs="Arial"/>
                <w:sz w:val="21"/>
                <w:szCs w:val="21"/>
              </w:rPr>
            </w:pPr>
            <w:r w:rsidRPr="008216E9">
              <w:rPr>
                <w:rFonts w:ascii="Arial" w:hAnsi="Arial" w:cs="Arial"/>
                <w:sz w:val="21"/>
                <w:szCs w:val="21"/>
              </w:rPr>
              <w:t>Ransomware-Angriff auf Produktionsserver.</w:t>
            </w:r>
          </w:p>
        </w:tc>
      </w:tr>
      <w:tr w:rsidR="008216E9" w:rsidRPr="00997AE5" w14:paraId="0D6C2D4B" w14:textId="77777777" w:rsidTr="008216E9">
        <w:trPr>
          <w:cnfStyle w:val="000000010000" w:firstRow="0" w:lastRow="0" w:firstColumn="0" w:lastColumn="0" w:oddVBand="0" w:evenVBand="0" w:oddHBand="0" w:evenHBand="1" w:firstRowFirstColumn="0" w:firstRowLastColumn="0" w:lastRowFirstColumn="0" w:lastRowLastColumn="0"/>
        </w:trPr>
        <w:tc>
          <w:tcPr>
            <w:tcW w:w="1746" w:type="dxa"/>
          </w:tcPr>
          <w:p w14:paraId="5B37199A" w14:textId="7FBCDD30" w:rsidR="008216E9" w:rsidRPr="008216E9" w:rsidRDefault="008216E9" w:rsidP="008216E9">
            <w:pPr>
              <w:rPr>
                <w:rFonts w:ascii="Arial" w:hAnsi="Arial" w:cs="Arial"/>
                <w:sz w:val="21"/>
                <w:szCs w:val="21"/>
              </w:rPr>
            </w:pPr>
            <w:r w:rsidRPr="008216E9">
              <w:rPr>
                <w:rFonts w:ascii="Arial" w:hAnsi="Arial" w:cs="Arial"/>
                <w:sz w:val="21"/>
                <w:szCs w:val="21"/>
              </w:rPr>
              <w:lastRenderedPageBreak/>
              <w:t>Kritisch</w:t>
            </w:r>
          </w:p>
        </w:tc>
        <w:tc>
          <w:tcPr>
            <w:tcW w:w="4628" w:type="dxa"/>
          </w:tcPr>
          <w:p w14:paraId="6BDE0E05" w14:textId="0EAC71E6" w:rsidR="008216E9" w:rsidRPr="008216E9" w:rsidRDefault="008216E9" w:rsidP="008216E9">
            <w:pPr>
              <w:rPr>
                <w:rFonts w:ascii="Arial" w:hAnsi="Arial" w:cs="Arial"/>
                <w:sz w:val="21"/>
                <w:szCs w:val="21"/>
              </w:rPr>
            </w:pPr>
            <w:r w:rsidRPr="008216E9">
              <w:rPr>
                <w:rFonts w:ascii="Arial" w:hAnsi="Arial" w:cs="Arial"/>
                <w:sz w:val="21"/>
                <w:szCs w:val="21"/>
              </w:rPr>
              <w:t>Organisation weit betroffen. Schwerwiegende Auswirkungen auf Verfügbarkeit, Integrität oder Vertraulichkeit.</w:t>
            </w:r>
          </w:p>
        </w:tc>
        <w:tc>
          <w:tcPr>
            <w:tcW w:w="2688" w:type="dxa"/>
          </w:tcPr>
          <w:p w14:paraId="40CCD74B" w14:textId="1D6D5336" w:rsidR="008216E9" w:rsidRPr="008216E9" w:rsidRDefault="008216E9" w:rsidP="008216E9">
            <w:pPr>
              <w:rPr>
                <w:rFonts w:ascii="Arial" w:hAnsi="Arial" w:cs="Arial"/>
                <w:sz w:val="21"/>
                <w:szCs w:val="21"/>
              </w:rPr>
            </w:pPr>
            <w:proofErr w:type="spellStart"/>
            <w:r w:rsidRPr="008216E9">
              <w:rPr>
                <w:rFonts w:ascii="Arial" w:hAnsi="Arial" w:cs="Arial"/>
                <w:sz w:val="21"/>
                <w:szCs w:val="21"/>
              </w:rPr>
              <w:t>Datenexfiltration</w:t>
            </w:r>
            <w:proofErr w:type="spellEnd"/>
            <w:r w:rsidRPr="008216E9">
              <w:rPr>
                <w:rFonts w:ascii="Arial" w:hAnsi="Arial" w:cs="Arial"/>
                <w:sz w:val="21"/>
                <w:szCs w:val="21"/>
              </w:rPr>
              <w:t xml:space="preserve"> oder kompletter Netzwerkausfall.</w:t>
            </w:r>
          </w:p>
        </w:tc>
      </w:tr>
    </w:tbl>
    <w:p w14:paraId="759093F2" w14:textId="77777777" w:rsidR="008E3789" w:rsidRPr="008216E9" w:rsidRDefault="008E3789" w:rsidP="008E3789">
      <w:pPr>
        <w:pStyle w:val="p2"/>
        <w:rPr>
          <w:rFonts w:ascii="Arial" w:hAnsi="Arial" w:cs="Arial"/>
        </w:rPr>
      </w:pPr>
    </w:p>
    <w:p w14:paraId="60A64C18" w14:textId="77777777" w:rsidR="008E3789" w:rsidRPr="008216E9" w:rsidRDefault="008E3789" w:rsidP="008E3789">
      <w:pPr>
        <w:pStyle w:val="p2"/>
        <w:rPr>
          <w:rFonts w:ascii="Arial" w:hAnsi="Arial" w:cs="Arial"/>
        </w:rPr>
      </w:pPr>
    </w:p>
    <w:p w14:paraId="66C2287B"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5. Klassifizierungsmatrix</w:t>
      </w:r>
    </w:p>
    <w:tbl>
      <w:tblPr>
        <w:tblStyle w:val="Formatvorlage1"/>
        <w:tblW w:w="0" w:type="auto"/>
        <w:tblLayout w:type="fixed"/>
        <w:tblLook w:val="04A0" w:firstRow="1" w:lastRow="0" w:firstColumn="1" w:lastColumn="0" w:noHBand="0" w:noVBand="1"/>
      </w:tblPr>
      <w:tblGrid>
        <w:gridCol w:w="2013"/>
        <w:gridCol w:w="1243"/>
        <w:gridCol w:w="1984"/>
        <w:gridCol w:w="2126"/>
        <w:gridCol w:w="1696"/>
      </w:tblGrid>
      <w:tr w:rsidR="008216E9" w:rsidRPr="008216E9" w14:paraId="142844F6" w14:textId="513E56A5" w:rsidTr="008216E9">
        <w:trPr>
          <w:cnfStyle w:val="100000000000" w:firstRow="1" w:lastRow="0" w:firstColumn="0" w:lastColumn="0" w:oddVBand="0" w:evenVBand="0" w:oddHBand="0" w:evenHBand="0" w:firstRowFirstColumn="0" w:firstRowLastColumn="0" w:lastRowFirstColumn="0" w:lastRowLastColumn="0"/>
        </w:trPr>
        <w:tc>
          <w:tcPr>
            <w:tcW w:w="2013" w:type="dxa"/>
          </w:tcPr>
          <w:p w14:paraId="1A69AA6A" w14:textId="32D02CF8" w:rsidR="008216E9" w:rsidRPr="008216E9" w:rsidRDefault="008216E9" w:rsidP="008216E9">
            <w:pPr>
              <w:rPr>
                <w:rFonts w:ascii="Arial" w:hAnsi="Arial" w:cs="Arial"/>
                <w:sz w:val="21"/>
                <w:szCs w:val="21"/>
              </w:rPr>
            </w:pPr>
            <w:r w:rsidRPr="008216E9">
              <w:rPr>
                <w:rFonts w:ascii="Arial" w:hAnsi="Arial" w:cs="Arial"/>
                <w:sz w:val="21"/>
                <w:szCs w:val="21"/>
              </w:rPr>
              <w:t>Kriterium</w:t>
            </w:r>
          </w:p>
        </w:tc>
        <w:tc>
          <w:tcPr>
            <w:tcW w:w="1243" w:type="dxa"/>
          </w:tcPr>
          <w:p w14:paraId="62BB6638" w14:textId="4E32F9BE" w:rsidR="008216E9" w:rsidRPr="008216E9" w:rsidRDefault="008216E9" w:rsidP="008216E9">
            <w:pPr>
              <w:rPr>
                <w:rFonts w:ascii="Arial" w:hAnsi="Arial" w:cs="Arial"/>
                <w:sz w:val="21"/>
                <w:szCs w:val="21"/>
              </w:rPr>
            </w:pPr>
            <w:r w:rsidRPr="008216E9">
              <w:rPr>
                <w:rFonts w:ascii="Arial" w:hAnsi="Arial" w:cs="Arial"/>
                <w:sz w:val="21"/>
                <w:szCs w:val="21"/>
              </w:rPr>
              <w:t>Niedrig</w:t>
            </w:r>
          </w:p>
        </w:tc>
        <w:tc>
          <w:tcPr>
            <w:tcW w:w="1984" w:type="dxa"/>
          </w:tcPr>
          <w:p w14:paraId="4A4D57A6" w14:textId="6C762117" w:rsidR="008216E9" w:rsidRPr="008216E9" w:rsidRDefault="008216E9" w:rsidP="008216E9">
            <w:pPr>
              <w:rPr>
                <w:rFonts w:ascii="Arial" w:hAnsi="Arial" w:cs="Arial"/>
                <w:sz w:val="21"/>
                <w:szCs w:val="21"/>
              </w:rPr>
            </w:pPr>
            <w:r w:rsidRPr="008216E9">
              <w:rPr>
                <w:rFonts w:ascii="Arial" w:hAnsi="Arial" w:cs="Arial"/>
                <w:sz w:val="21"/>
                <w:szCs w:val="21"/>
              </w:rPr>
              <w:t>Mittel</w:t>
            </w:r>
          </w:p>
        </w:tc>
        <w:tc>
          <w:tcPr>
            <w:tcW w:w="2126" w:type="dxa"/>
          </w:tcPr>
          <w:p w14:paraId="5F8ECE1B" w14:textId="0AE05C88" w:rsidR="008216E9" w:rsidRPr="008216E9" w:rsidRDefault="008216E9" w:rsidP="008216E9">
            <w:pPr>
              <w:rPr>
                <w:rFonts w:ascii="Arial" w:hAnsi="Arial" w:cs="Arial"/>
                <w:sz w:val="21"/>
                <w:szCs w:val="21"/>
              </w:rPr>
            </w:pPr>
            <w:r w:rsidRPr="008216E9">
              <w:rPr>
                <w:rFonts w:ascii="Arial" w:hAnsi="Arial" w:cs="Arial"/>
                <w:sz w:val="21"/>
                <w:szCs w:val="21"/>
              </w:rPr>
              <w:t>Hoch</w:t>
            </w:r>
          </w:p>
        </w:tc>
        <w:tc>
          <w:tcPr>
            <w:tcW w:w="1696" w:type="dxa"/>
          </w:tcPr>
          <w:p w14:paraId="0485DDAB" w14:textId="5C4A738B" w:rsidR="008216E9" w:rsidRPr="008216E9" w:rsidRDefault="008216E9" w:rsidP="008216E9">
            <w:pPr>
              <w:rPr>
                <w:rFonts w:ascii="Arial" w:hAnsi="Arial" w:cs="Arial"/>
                <w:sz w:val="21"/>
                <w:szCs w:val="21"/>
              </w:rPr>
            </w:pPr>
            <w:r w:rsidRPr="008216E9">
              <w:rPr>
                <w:rFonts w:ascii="Arial" w:hAnsi="Arial" w:cs="Arial"/>
                <w:sz w:val="21"/>
                <w:szCs w:val="21"/>
              </w:rPr>
              <w:t>Kritisch</w:t>
            </w:r>
          </w:p>
        </w:tc>
      </w:tr>
      <w:tr w:rsidR="008216E9" w:rsidRPr="008216E9" w14:paraId="66EDFD33" w14:textId="1E95A644" w:rsidTr="008216E9">
        <w:tc>
          <w:tcPr>
            <w:tcW w:w="2013" w:type="dxa"/>
          </w:tcPr>
          <w:p w14:paraId="67EA5A0C" w14:textId="3322F7C8" w:rsidR="008216E9" w:rsidRPr="008216E9" w:rsidRDefault="008216E9" w:rsidP="008216E9">
            <w:pPr>
              <w:rPr>
                <w:rFonts w:ascii="Arial" w:hAnsi="Arial" w:cs="Arial"/>
                <w:sz w:val="21"/>
                <w:szCs w:val="21"/>
              </w:rPr>
            </w:pPr>
            <w:r w:rsidRPr="008216E9">
              <w:rPr>
                <w:rFonts w:ascii="Arial" w:hAnsi="Arial" w:cs="Arial"/>
                <w:sz w:val="21"/>
                <w:szCs w:val="21"/>
              </w:rPr>
              <w:t>Betroffene Systeme</w:t>
            </w:r>
          </w:p>
        </w:tc>
        <w:tc>
          <w:tcPr>
            <w:tcW w:w="1243" w:type="dxa"/>
          </w:tcPr>
          <w:p w14:paraId="248D5F8B" w14:textId="146CB587" w:rsidR="008216E9" w:rsidRPr="008216E9" w:rsidRDefault="008216E9" w:rsidP="008216E9">
            <w:pPr>
              <w:rPr>
                <w:rFonts w:ascii="Arial" w:hAnsi="Arial" w:cs="Arial"/>
                <w:sz w:val="21"/>
                <w:szCs w:val="21"/>
              </w:rPr>
            </w:pPr>
            <w:r w:rsidRPr="008216E9">
              <w:rPr>
                <w:rFonts w:ascii="Arial" w:hAnsi="Arial" w:cs="Arial"/>
                <w:sz w:val="21"/>
                <w:szCs w:val="21"/>
              </w:rPr>
              <w:t>Einzelner Endpunkt</w:t>
            </w:r>
          </w:p>
        </w:tc>
        <w:tc>
          <w:tcPr>
            <w:tcW w:w="1984" w:type="dxa"/>
          </w:tcPr>
          <w:p w14:paraId="5E972186" w14:textId="30CDA2D3" w:rsidR="008216E9" w:rsidRPr="008216E9" w:rsidRDefault="008216E9" w:rsidP="008216E9">
            <w:pPr>
              <w:rPr>
                <w:rFonts w:ascii="Arial" w:hAnsi="Arial" w:cs="Arial"/>
                <w:sz w:val="21"/>
                <w:szCs w:val="21"/>
              </w:rPr>
            </w:pPr>
            <w:r w:rsidRPr="008216E9">
              <w:rPr>
                <w:rFonts w:ascii="Arial" w:hAnsi="Arial" w:cs="Arial"/>
                <w:sz w:val="21"/>
                <w:szCs w:val="21"/>
              </w:rPr>
              <w:t>Mehrere Endpunkte</w:t>
            </w:r>
          </w:p>
        </w:tc>
        <w:tc>
          <w:tcPr>
            <w:tcW w:w="2126" w:type="dxa"/>
          </w:tcPr>
          <w:p w14:paraId="6E183A91" w14:textId="5BEC41A2" w:rsidR="008216E9" w:rsidRPr="008216E9" w:rsidRDefault="008216E9" w:rsidP="008216E9">
            <w:pPr>
              <w:rPr>
                <w:rFonts w:ascii="Arial" w:hAnsi="Arial" w:cs="Arial"/>
                <w:sz w:val="21"/>
                <w:szCs w:val="21"/>
              </w:rPr>
            </w:pPr>
            <w:r w:rsidRPr="008216E9">
              <w:rPr>
                <w:rFonts w:ascii="Arial" w:hAnsi="Arial" w:cs="Arial"/>
                <w:sz w:val="21"/>
                <w:szCs w:val="21"/>
              </w:rPr>
              <w:t>Kritische Systeme</w:t>
            </w:r>
          </w:p>
        </w:tc>
        <w:tc>
          <w:tcPr>
            <w:tcW w:w="1696" w:type="dxa"/>
          </w:tcPr>
          <w:p w14:paraId="328BD1E6" w14:textId="119EBA8C" w:rsidR="008216E9" w:rsidRPr="008216E9" w:rsidRDefault="008216E9" w:rsidP="008216E9">
            <w:pPr>
              <w:rPr>
                <w:rFonts w:ascii="Arial" w:hAnsi="Arial" w:cs="Arial"/>
                <w:sz w:val="21"/>
                <w:szCs w:val="21"/>
              </w:rPr>
            </w:pPr>
            <w:r w:rsidRPr="008216E9">
              <w:rPr>
                <w:rFonts w:ascii="Arial" w:hAnsi="Arial" w:cs="Arial"/>
                <w:sz w:val="21"/>
                <w:szCs w:val="21"/>
              </w:rPr>
              <w:t>Gesamte Organisation</w:t>
            </w:r>
          </w:p>
        </w:tc>
      </w:tr>
      <w:tr w:rsidR="008216E9" w:rsidRPr="008216E9" w14:paraId="29BAA45D" w14:textId="39003CE5" w:rsidTr="008216E9">
        <w:trPr>
          <w:cnfStyle w:val="000000010000" w:firstRow="0" w:lastRow="0" w:firstColumn="0" w:lastColumn="0" w:oddVBand="0" w:evenVBand="0" w:oddHBand="0" w:evenHBand="1" w:firstRowFirstColumn="0" w:firstRowLastColumn="0" w:lastRowFirstColumn="0" w:lastRowLastColumn="0"/>
        </w:trPr>
        <w:tc>
          <w:tcPr>
            <w:tcW w:w="2013" w:type="dxa"/>
          </w:tcPr>
          <w:p w14:paraId="53178077" w14:textId="4204CA70" w:rsidR="008216E9" w:rsidRPr="008216E9" w:rsidRDefault="008216E9" w:rsidP="008216E9">
            <w:pPr>
              <w:rPr>
                <w:rFonts w:ascii="Arial" w:hAnsi="Arial" w:cs="Arial"/>
                <w:sz w:val="21"/>
                <w:szCs w:val="21"/>
              </w:rPr>
            </w:pPr>
            <w:r w:rsidRPr="008216E9">
              <w:rPr>
                <w:rFonts w:ascii="Arial" w:hAnsi="Arial" w:cs="Arial"/>
                <w:sz w:val="21"/>
                <w:szCs w:val="21"/>
              </w:rPr>
              <w:t>Betroffene Benutzer</w:t>
            </w:r>
          </w:p>
        </w:tc>
        <w:tc>
          <w:tcPr>
            <w:tcW w:w="1243" w:type="dxa"/>
          </w:tcPr>
          <w:p w14:paraId="47A8477F" w14:textId="717C0DB4" w:rsidR="008216E9" w:rsidRPr="008216E9" w:rsidRDefault="008216E9" w:rsidP="008216E9">
            <w:pPr>
              <w:rPr>
                <w:rFonts w:ascii="Arial" w:hAnsi="Arial" w:cs="Arial"/>
                <w:sz w:val="21"/>
                <w:szCs w:val="21"/>
              </w:rPr>
            </w:pPr>
            <w:r w:rsidRPr="008216E9">
              <w:rPr>
                <w:rFonts w:ascii="Arial" w:hAnsi="Arial" w:cs="Arial"/>
                <w:sz w:val="21"/>
                <w:szCs w:val="21"/>
              </w:rPr>
              <w:t>1–5 Benutzer</w:t>
            </w:r>
          </w:p>
        </w:tc>
        <w:tc>
          <w:tcPr>
            <w:tcW w:w="1984" w:type="dxa"/>
          </w:tcPr>
          <w:p w14:paraId="1DCBAD0E" w14:textId="4600D80B" w:rsidR="008216E9" w:rsidRPr="008216E9" w:rsidRDefault="008216E9" w:rsidP="008216E9">
            <w:pPr>
              <w:rPr>
                <w:rFonts w:ascii="Arial" w:hAnsi="Arial" w:cs="Arial"/>
                <w:sz w:val="21"/>
                <w:szCs w:val="21"/>
              </w:rPr>
            </w:pPr>
            <w:r w:rsidRPr="008216E9">
              <w:rPr>
                <w:rFonts w:ascii="Arial" w:hAnsi="Arial" w:cs="Arial"/>
                <w:sz w:val="21"/>
                <w:szCs w:val="21"/>
              </w:rPr>
              <w:t>6–50 Benutzer</w:t>
            </w:r>
          </w:p>
        </w:tc>
        <w:tc>
          <w:tcPr>
            <w:tcW w:w="2126" w:type="dxa"/>
          </w:tcPr>
          <w:p w14:paraId="592CFCF3" w14:textId="296CFD28" w:rsidR="008216E9" w:rsidRPr="008216E9" w:rsidRDefault="008216E9" w:rsidP="008216E9">
            <w:pPr>
              <w:rPr>
                <w:rFonts w:ascii="Arial" w:hAnsi="Arial" w:cs="Arial"/>
                <w:sz w:val="21"/>
                <w:szCs w:val="21"/>
              </w:rPr>
            </w:pPr>
            <w:r w:rsidRPr="008216E9">
              <w:rPr>
                <w:rFonts w:ascii="Arial" w:hAnsi="Arial" w:cs="Arial"/>
                <w:sz w:val="21"/>
                <w:szCs w:val="21"/>
              </w:rPr>
              <w:t>&gt;50 Benutzer</w:t>
            </w:r>
          </w:p>
        </w:tc>
        <w:tc>
          <w:tcPr>
            <w:tcW w:w="1696" w:type="dxa"/>
          </w:tcPr>
          <w:p w14:paraId="2DF0D55D" w14:textId="5538B53B" w:rsidR="008216E9" w:rsidRPr="008216E9" w:rsidRDefault="008216E9" w:rsidP="008216E9">
            <w:pPr>
              <w:rPr>
                <w:rFonts w:ascii="Arial" w:hAnsi="Arial" w:cs="Arial"/>
                <w:sz w:val="21"/>
                <w:szCs w:val="21"/>
              </w:rPr>
            </w:pPr>
            <w:r w:rsidRPr="008216E9">
              <w:rPr>
                <w:rFonts w:ascii="Arial" w:hAnsi="Arial" w:cs="Arial"/>
                <w:sz w:val="21"/>
                <w:szCs w:val="21"/>
              </w:rPr>
              <w:t>Alle Benutzer</w:t>
            </w:r>
          </w:p>
        </w:tc>
      </w:tr>
      <w:tr w:rsidR="008216E9" w:rsidRPr="008216E9" w14:paraId="5A47D33A" w14:textId="0B361785" w:rsidTr="008216E9">
        <w:tc>
          <w:tcPr>
            <w:tcW w:w="2013" w:type="dxa"/>
          </w:tcPr>
          <w:p w14:paraId="7840590D" w14:textId="7E79812C" w:rsidR="008216E9" w:rsidRPr="008216E9" w:rsidRDefault="008216E9" w:rsidP="008216E9">
            <w:pPr>
              <w:rPr>
                <w:rFonts w:ascii="Arial" w:hAnsi="Arial" w:cs="Arial"/>
                <w:sz w:val="21"/>
                <w:szCs w:val="21"/>
              </w:rPr>
            </w:pPr>
            <w:r w:rsidRPr="008216E9">
              <w:rPr>
                <w:rFonts w:ascii="Arial" w:hAnsi="Arial" w:cs="Arial"/>
                <w:sz w:val="21"/>
                <w:szCs w:val="21"/>
              </w:rPr>
              <w:t>Auswirkungen</w:t>
            </w:r>
          </w:p>
        </w:tc>
        <w:tc>
          <w:tcPr>
            <w:tcW w:w="1243" w:type="dxa"/>
          </w:tcPr>
          <w:p w14:paraId="57A53CAF" w14:textId="1B11FC6D" w:rsidR="008216E9" w:rsidRPr="008216E9" w:rsidRDefault="008216E9" w:rsidP="008216E9">
            <w:pPr>
              <w:rPr>
                <w:rFonts w:ascii="Arial" w:hAnsi="Arial" w:cs="Arial"/>
                <w:sz w:val="21"/>
                <w:szCs w:val="21"/>
              </w:rPr>
            </w:pPr>
            <w:r w:rsidRPr="008216E9">
              <w:rPr>
                <w:rFonts w:ascii="Arial" w:hAnsi="Arial" w:cs="Arial"/>
                <w:sz w:val="21"/>
                <w:szCs w:val="21"/>
              </w:rPr>
              <w:t>Keine</w:t>
            </w:r>
          </w:p>
        </w:tc>
        <w:tc>
          <w:tcPr>
            <w:tcW w:w="1984" w:type="dxa"/>
          </w:tcPr>
          <w:p w14:paraId="7915F43D" w14:textId="54473B98" w:rsidR="008216E9" w:rsidRPr="008216E9" w:rsidRDefault="008216E9" w:rsidP="008216E9">
            <w:pPr>
              <w:rPr>
                <w:rFonts w:ascii="Arial" w:hAnsi="Arial" w:cs="Arial"/>
                <w:sz w:val="21"/>
                <w:szCs w:val="21"/>
              </w:rPr>
            </w:pPr>
            <w:r w:rsidRPr="008216E9">
              <w:rPr>
                <w:rFonts w:ascii="Arial" w:hAnsi="Arial" w:cs="Arial"/>
                <w:sz w:val="21"/>
                <w:szCs w:val="21"/>
              </w:rPr>
              <w:t>Leichte Einschränkungen</w:t>
            </w:r>
          </w:p>
        </w:tc>
        <w:tc>
          <w:tcPr>
            <w:tcW w:w="2126" w:type="dxa"/>
          </w:tcPr>
          <w:p w14:paraId="35310EC7" w14:textId="4BC6153A" w:rsidR="008216E9" w:rsidRPr="008216E9" w:rsidRDefault="008216E9" w:rsidP="008216E9">
            <w:pPr>
              <w:rPr>
                <w:rFonts w:ascii="Arial" w:hAnsi="Arial" w:cs="Arial"/>
                <w:sz w:val="21"/>
                <w:szCs w:val="21"/>
              </w:rPr>
            </w:pPr>
            <w:r w:rsidRPr="008216E9">
              <w:rPr>
                <w:rFonts w:ascii="Arial" w:hAnsi="Arial" w:cs="Arial"/>
                <w:sz w:val="21"/>
                <w:szCs w:val="21"/>
              </w:rPr>
              <w:t>Bedeutende Einschränkungen</w:t>
            </w:r>
          </w:p>
        </w:tc>
        <w:tc>
          <w:tcPr>
            <w:tcW w:w="1696" w:type="dxa"/>
          </w:tcPr>
          <w:p w14:paraId="3610AA61" w14:textId="7A5BA145" w:rsidR="008216E9" w:rsidRPr="008216E9" w:rsidRDefault="008216E9" w:rsidP="008216E9">
            <w:pPr>
              <w:rPr>
                <w:rFonts w:ascii="Arial" w:hAnsi="Arial" w:cs="Arial"/>
                <w:sz w:val="21"/>
                <w:szCs w:val="21"/>
              </w:rPr>
            </w:pPr>
            <w:r w:rsidRPr="008216E9">
              <w:rPr>
                <w:rFonts w:ascii="Arial" w:hAnsi="Arial" w:cs="Arial"/>
                <w:sz w:val="21"/>
                <w:szCs w:val="21"/>
              </w:rPr>
              <w:t>Geschäfts</w:t>
            </w:r>
            <w:r>
              <w:rPr>
                <w:rFonts w:ascii="Arial" w:hAnsi="Arial" w:cs="Arial"/>
                <w:sz w:val="21"/>
                <w:szCs w:val="21"/>
              </w:rPr>
              <w:t>-</w:t>
            </w:r>
            <w:r w:rsidRPr="008216E9">
              <w:rPr>
                <w:rFonts w:ascii="Arial" w:hAnsi="Arial" w:cs="Arial"/>
                <w:sz w:val="21"/>
                <w:szCs w:val="21"/>
              </w:rPr>
              <w:t>unterbrechung</w:t>
            </w:r>
          </w:p>
        </w:tc>
      </w:tr>
      <w:tr w:rsidR="008216E9" w:rsidRPr="008216E9" w14:paraId="5098131E" w14:textId="77777777" w:rsidTr="008216E9">
        <w:trPr>
          <w:cnfStyle w:val="000000010000" w:firstRow="0" w:lastRow="0" w:firstColumn="0" w:lastColumn="0" w:oddVBand="0" w:evenVBand="0" w:oddHBand="0" w:evenHBand="1" w:firstRowFirstColumn="0" w:firstRowLastColumn="0" w:lastRowFirstColumn="0" w:lastRowLastColumn="0"/>
        </w:trPr>
        <w:tc>
          <w:tcPr>
            <w:tcW w:w="2013" w:type="dxa"/>
          </w:tcPr>
          <w:p w14:paraId="1C29B812" w14:textId="3323854E" w:rsidR="008216E9" w:rsidRPr="008216E9" w:rsidRDefault="008216E9" w:rsidP="008216E9">
            <w:pPr>
              <w:rPr>
                <w:rFonts w:ascii="Arial" w:hAnsi="Arial" w:cs="Arial"/>
                <w:sz w:val="21"/>
                <w:szCs w:val="21"/>
              </w:rPr>
            </w:pPr>
            <w:r w:rsidRPr="008216E9">
              <w:rPr>
                <w:rFonts w:ascii="Arial" w:hAnsi="Arial" w:cs="Arial"/>
                <w:sz w:val="21"/>
                <w:szCs w:val="21"/>
              </w:rPr>
              <w:t>Wiederherstellungs</w:t>
            </w:r>
            <w:r>
              <w:rPr>
                <w:rFonts w:ascii="Arial" w:hAnsi="Arial" w:cs="Arial"/>
                <w:sz w:val="21"/>
                <w:szCs w:val="21"/>
              </w:rPr>
              <w:t>-</w:t>
            </w:r>
            <w:r w:rsidRPr="008216E9">
              <w:rPr>
                <w:rFonts w:ascii="Arial" w:hAnsi="Arial" w:cs="Arial"/>
                <w:sz w:val="21"/>
                <w:szCs w:val="21"/>
              </w:rPr>
              <w:t>zeit</w:t>
            </w:r>
          </w:p>
        </w:tc>
        <w:tc>
          <w:tcPr>
            <w:tcW w:w="1243" w:type="dxa"/>
          </w:tcPr>
          <w:p w14:paraId="078743CA" w14:textId="6185E1E2" w:rsidR="008216E9" w:rsidRPr="008216E9" w:rsidRDefault="008216E9" w:rsidP="008216E9">
            <w:pPr>
              <w:rPr>
                <w:rFonts w:ascii="Arial" w:hAnsi="Arial" w:cs="Arial"/>
                <w:sz w:val="21"/>
                <w:szCs w:val="21"/>
              </w:rPr>
            </w:pPr>
            <w:r w:rsidRPr="008216E9">
              <w:rPr>
                <w:rFonts w:ascii="Arial" w:hAnsi="Arial" w:cs="Arial"/>
                <w:sz w:val="21"/>
                <w:szCs w:val="21"/>
              </w:rPr>
              <w:t>&lt;1 Stunde</w:t>
            </w:r>
          </w:p>
        </w:tc>
        <w:tc>
          <w:tcPr>
            <w:tcW w:w="1984" w:type="dxa"/>
          </w:tcPr>
          <w:p w14:paraId="6B40472A" w14:textId="68378067" w:rsidR="008216E9" w:rsidRPr="008216E9" w:rsidRDefault="008216E9" w:rsidP="008216E9">
            <w:pPr>
              <w:rPr>
                <w:rFonts w:ascii="Arial" w:hAnsi="Arial" w:cs="Arial"/>
                <w:sz w:val="21"/>
                <w:szCs w:val="21"/>
              </w:rPr>
            </w:pPr>
            <w:r w:rsidRPr="008216E9">
              <w:rPr>
                <w:rFonts w:ascii="Arial" w:hAnsi="Arial" w:cs="Arial"/>
                <w:sz w:val="21"/>
                <w:szCs w:val="21"/>
              </w:rPr>
              <w:t>1–4 Stunden</w:t>
            </w:r>
          </w:p>
        </w:tc>
        <w:tc>
          <w:tcPr>
            <w:tcW w:w="2126" w:type="dxa"/>
          </w:tcPr>
          <w:p w14:paraId="1BF70B99" w14:textId="3445DF70" w:rsidR="008216E9" w:rsidRPr="008216E9" w:rsidRDefault="008216E9" w:rsidP="008216E9">
            <w:pPr>
              <w:rPr>
                <w:rFonts w:ascii="Arial" w:hAnsi="Arial" w:cs="Arial"/>
                <w:sz w:val="21"/>
                <w:szCs w:val="21"/>
              </w:rPr>
            </w:pPr>
            <w:r w:rsidRPr="008216E9">
              <w:rPr>
                <w:rFonts w:ascii="Arial" w:hAnsi="Arial" w:cs="Arial"/>
                <w:sz w:val="21"/>
                <w:szCs w:val="21"/>
              </w:rPr>
              <w:t>4–24 Stunden</w:t>
            </w:r>
          </w:p>
        </w:tc>
        <w:tc>
          <w:tcPr>
            <w:tcW w:w="1696" w:type="dxa"/>
          </w:tcPr>
          <w:p w14:paraId="6F84B170" w14:textId="7799945D" w:rsidR="008216E9" w:rsidRPr="008216E9" w:rsidRDefault="008216E9" w:rsidP="008216E9">
            <w:pPr>
              <w:rPr>
                <w:rFonts w:ascii="Arial" w:hAnsi="Arial" w:cs="Arial"/>
                <w:sz w:val="21"/>
                <w:szCs w:val="21"/>
              </w:rPr>
            </w:pPr>
            <w:r w:rsidRPr="008216E9">
              <w:rPr>
                <w:rFonts w:ascii="Arial" w:hAnsi="Arial" w:cs="Arial"/>
                <w:sz w:val="21"/>
                <w:szCs w:val="21"/>
              </w:rPr>
              <w:t>&gt;24 Stunden</w:t>
            </w:r>
          </w:p>
        </w:tc>
      </w:tr>
    </w:tbl>
    <w:p w14:paraId="4C093788" w14:textId="77777777" w:rsidR="008E3789" w:rsidRPr="008216E9" w:rsidRDefault="008E3789" w:rsidP="008E3789">
      <w:pPr>
        <w:pStyle w:val="p2"/>
        <w:rPr>
          <w:rFonts w:ascii="Arial" w:hAnsi="Arial" w:cs="Arial"/>
        </w:rPr>
      </w:pPr>
    </w:p>
    <w:p w14:paraId="18A42A69"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6. Eskalationspfad basierend auf Klassifizierung</w:t>
      </w:r>
    </w:p>
    <w:tbl>
      <w:tblPr>
        <w:tblStyle w:val="Formatvorlage1"/>
        <w:tblW w:w="9067" w:type="dxa"/>
        <w:tblLayout w:type="fixed"/>
        <w:tblLook w:val="04A0" w:firstRow="1" w:lastRow="0" w:firstColumn="1" w:lastColumn="0" w:noHBand="0" w:noVBand="1"/>
      </w:tblPr>
      <w:tblGrid>
        <w:gridCol w:w="2013"/>
        <w:gridCol w:w="2802"/>
        <w:gridCol w:w="2977"/>
        <w:gridCol w:w="1275"/>
      </w:tblGrid>
      <w:tr w:rsidR="008216E9" w:rsidRPr="008216E9" w14:paraId="41E95B9B" w14:textId="77777777" w:rsidTr="008216E9">
        <w:trPr>
          <w:cnfStyle w:val="100000000000" w:firstRow="1" w:lastRow="0" w:firstColumn="0" w:lastColumn="0" w:oddVBand="0" w:evenVBand="0" w:oddHBand="0" w:evenHBand="0" w:firstRowFirstColumn="0" w:firstRowLastColumn="0" w:lastRowFirstColumn="0" w:lastRowLastColumn="0"/>
        </w:trPr>
        <w:tc>
          <w:tcPr>
            <w:tcW w:w="2013" w:type="dxa"/>
          </w:tcPr>
          <w:p w14:paraId="0ADADB8D" w14:textId="57B9E9B0" w:rsidR="008216E9" w:rsidRPr="008216E9" w:rsidRDefault="008216E9" w:rsidP="008216E9">
            <w:pPr>
              <w:rPr>
                <w:rFonts w:ascii="Arial" w:hAnsi="Arial" w:cs="Arial"/>
                <w:sz w:val="21"/>
                <w:szCs w:val="21"/>
              </w:rPr>
            </w:pPr>
            <w:r w:rsidRPr="008216E9">
              <w:rPr>
                <w:rFonts w:ascii="Arial" w:hAnsi="Arial" w:cs="Arial"/>
                <w:b/>
                <w:bCs/>
                <w:sz w:val="21"/>
                <w:szCs w:val="21"/>
              </w:rPr>
              <w:t>Stufe</w:t>
            </w:r>
          </w:p>
        </w:tc>
        <w:tc>
          <w:tcPr>
            <w:tcW w:w="2802" w:type="dxa"/>
          </w:tcPr>
          <w:p w14:paraId="0925681F" w14:textId="42CC3640" w:rsidR="008216E9" w:rsidRPr="008216E9" w:rsidRDefault="008216E9" w:rsidP="008216E9">
            <w:pPr>
              <w:rPr>
                <w:rFonts w:ascii="Arial" w:hAnsi="Arial" w:cs="Arial"/>
                <w:sz w:val="21"/>
                <w:szCs w:val="21"/>
              </w:rPr>
            </w:pPr>
            <w:r w:rsidRPr="008216E9">
              <w:rPr>
                <w:rFonts w:ascii="Arial" w:hAnsi="Arial" w:cs="Arial"/>
                <w:b/>
                <w:bCs/>
                <w:sz w:val="21"/>
                <w:szCs w:val="21"/>
              </w:rPr>
              <w:t>Aktion</w:t>
            </w:r>
          </w:p>
        </w:tc>
        <w:tc>
          <w:tcPr>
            <w:tcW w:w="2977" w:type="dxa"/>
          </w:tcPr>
          <w:p w14:paraId="7B183411" w14:textId="484E4A39" w:rsidR="008216E9" w:rsidRPr="008216E9" w:rsidRDefault="008216E9" w:rsidP="008216E9">
            <w:pPr>
              <w:rPr>
                <w:rFonts w:ascii="Arial" w:hAnsi="Arial" w:cs="Arial"/>
                <w:sz w:val="21"/>
                <w:szCs w:val="21"/>
              </w:rPr>
            </w:pPr>
            <w:r w:rsidRPr="008216E9">
              <w:rPr>
                <w:rFonts w:ascii="Arial" w:hAnsi="Arial" w:cs="Arial"/>
                <w:b/>
                <w:bCs/>
                <w:sz w:val="21"/>
                <w:szCs w:val="21"/>
              </w:rPr>
              <w:t>Verantwortliche Rollen</w:t>
            </w:r>
          </w:p>
        </w:tc>
        <w:tc>
          <w:tcPr>
            <w:tcW w:w="1275" w:type="dxa"/>
          </w:tcPr>
          <w:p w14:paraId="6A9262F7" w14:textId="3F957956" w:rsidR="008216E9" w:rsidRPr="008216E9" w:rsidRDefault="008216E9" w:rsidP="008216E9">
            <w:pPr>
              <w:rPr>
                <w:rFonts w:ascii="Arial" w:hAnsi="Arial" w:cs="Arial"/>
                <w:sz w:val="21"/>
                <w:szCs w:val="21"/>
              </w:rPr>
            </w:pPr>
            <w:r w:rsidRPr="008216E9">
              <w:rPr>
                <w:rFonts w:ascii="Arial" w:hAnsi="Arial" w:cs="Arial"/>
                <w:b/>
                <w:bCs/>
                <w:sz w:val="21"/>
                <w:szCs w:val="21"/>
              </w:rPr>
              <w:t>Stufe</w:t>
            </w:r>
          </w:p>
        </w:tc>
      </w:tr>
      <w:tr w:rsidR="008216E9" w:rsidRPr="008216E9" w14:paraId="4ABF5B5C" w14:textId="77777777" w:rsidTr="008216E9">
        <w:tc>
          <w:tcPr>
            <w:tcW w:w="2013" w:type="dxa"/>
          </w:tcPr>
          <w:p w14:paraId="306C2133" w14:textId="68E1831F" w:rsidR="008216E9" w:rsidRPr="008216E9" w:rsidRDefault="008216E9" w:rsidP="008216E9">
            <w:pPr>
              <w:rPr>
                <w:rFonts w:ascii="Arial" w:hAnsi="Arial" w:cs="Arial"/>
                <w:sz w:val="21"/>
                <w:szCs w:val="21"/>
              </w:rPr>
            </w:pPr>
            <w:r w:rsidRPr="008216E9">
              <w:rPr>
                <w:rFonts w:ascii="Arial" w:hAnsi="Arial" w:cs="Arial"/>
                <w:b/>
                <w:bCs/>
                <w:sz w:val="21"/>
                <w:szCs w:val="21"/>
              </w:rPr>
              <w:t>Niedrig</w:t>
            </w:r>
          </w:p>
        </w:tc>
        <w:tc>
          <w:tcPr>
            <w:tcW w:w="2802" w:type="dxa"/>
          </w:tcPr>
          <w:p w14:paraId="3F427DD7" w14:textId="203190E8" w:rsidR="008216E9" w:rsidRPr="008216E9" w:rsidRDefault="008216E9" w:rsidP="008216E9">
            <w:pPr>
              <w:rPr>
                <w:rFonts w:ascii="Arial" w:hAnsi="Arial" w:cs="Arial"/>
                <w:sz w:val="21"/>
                <w:szCs w:val="21"/>
              </w:rPr>
            </w:pPr>
            <w:r w:rsidRPr="008216E9">
              <w:rPr>
                <w:rFonts w:ascii="Arial" w:hAnsi="Arial" w:cs="Arial"/>
                <w:sz w:val="21"/>
                <w:szCs w:val="21"/>
              </w:rPr>
              <w:t>Lokale Untersuchung und Dokumentation. Keine Eskalation notwendig.</w:t>
            </w:r>
          </w:p>
        </w:tc>
        <w:tc>
          <w:tcPr>
            <w:tcW w:w="2977" w:type="dxa"/>
          </w:tcPr>
          <w:p w14:paraId="74E2728D" w14:textId="5A87B2E2" w:rsidR="008216E9" w:rsidRPr="008216E9" w:rsidRDefault="008216E9" w:rsidP="008216E9">
            <w:pPr>
              <w:rPr>
                <w:rFonts w:ascii="Arial" w:hAnsi="Arial" w:cs="Arial"/>
                <w:sz w:val="21"/>
                <w:szCs w:val="21"/>
              </w:rPr>
            </w:pPr>
            <w:proofErr w:type="gramStart"/>
            <w:r w:rsidRPr="008216E9">
              <w:rPr>
                <w:rFonts w:ascii="Arial" w:hAnsi="Arial" w:cs="Arial"/>
                <w:sz w:val="21"/>
                <w:szCs w:val="21"/>
              </w:rPr>
              <w:t>SOC Tier</w:t>
            </w:r>
            <w:proofErr w:type="gramEnd"/>
            <w:r w:rsidRPr="008216E9">
              <w:rPr>
                <w:rFonts w:ascii="Arial" w:hAnsi="Arial" w:cs="Arial"/>
                <w:sz w:val="21"/>
                <w:szCs w:val="21"/>
              </w:rPr>
              <w:t xml:space="preserve"> 1 Analyst</w:t>
            </w:r>
          </w:p>
        </w:tc>
        <w:tc>
          <w:tcPr>
            <w:tcW w:w="1275" w:type="dxa"/>
          </w:tcPr>
          <w:p w14:paraId="2E517612" w14:textId="4FE706CE" w:rsidR="008216E9" w:rsidRPr="008216E9" w:rsidRDefault="008216E9" w:rsidP="008216E9">
            <w:pPr>
              <w:rPr>
                <w:rFonts w:ascii="Arial" w:hAnsi="Arial" w:cs="Arial"/>
                <w:sz w:val="21"/>
                <w:szCs w:val="21"/>
              </w:rPr>
            </w:pPr>
            <w:r w:rsidRPr="008216E9">
              <w:rPr>
                <w:rFonts w:ascii="Arial" w:hAnsi="Arial" w:cs="Arial"/>
                <w:b/>
                <w:bCs/>
                <w:sz w:val="21"/>
                <w:szCs w:val="21"/>
              </w:rPr>
              <w:t>Niedrig</w:t>
            </w:r>
          </w:p>
        </w:tc>
      </w:tr>
      <w:tr w:rsidR="008216E9" w:rsidRPr="008216E9" w14:paraId="7F8FF170" w14:textId="77777777" w:rsidTr="008216E9">
        <w:trPr>
          <w:cnfStyle w:val="000000010000" w:firstRow="0" w:lastRow="0" w:firstColumn="0" w:lastColumn="0" w:oddVBand="0" w:evenVBand="0" w:oddHBand="0" w:evenHBand="1" w:firstRowFirstColumn="0" w:firstRowLastColumn="0" w:lastRowFirstColumn="0" w:lastRowLastColumn="0"/>
        </w:trPr>
        <w:tc>
          <w:tcPr>
            <w:tcW w:w="2013" w:type="dxa"/>
          </w:tcPr>
          <w:p w14:paraId="2A20A6B9" w14:textId="7AE0B0E0" w:rsidR="008216E9" w:rsidRPr="008216E9" w:rsidRDefault="008216E9" w:rsidP="008216E9">
            <w:pPr>
              <w:rPr>
                <w:rFonts w:ascii="Arial" w:hAnsi="Arial" w:cs="Arial"/>
                <w:sz w:val="21"/>
                <w:szCs w:val="21"/>
              </w:rPr>
            </w:pPr>
            <w:r w:rsidRPr="008216E9">
              <w:rPr>
                <w:rFonts w:ascii="Arial" w:hAnsi="Arial" w:cs="Arial"/>
                <w:b/>
                <w:bCs/>
                <w:sz w:val="21"/>
                <w:szCs w:val="21"/>
              </w:rPr>
              <w:t>Mittel</w:t>
            </w:r>
          </w:p>
        </w:tc>
        <w:tc>
          <w:tcPr>
            <w:tcW w:w="2802" w:type="dxa"/>
          </w:tcPr>
          <w:p w14:paraId="41A8D9EE" w14:textId="10192616" w:rsidR="008216E9" w:rsidRPr="008216E9" w:rsidRDefault="008216E9" w:rsidP="008216E9">
            <w:pPr>
              <w:rPr>
                <w:rFonts w:ascii="Arial" w:hAnsi="Arial" w:cs="Arial"/>
                <w:sz w:val="21"/>
                <w:szCs w:val="21"/>
              </w:rPr>
            </w:pPr>
            <w:r w:rsidRPr="008216E9">
              <w:rPr>
                <w:rFonts w:ascii="Arial" w:hAnsi="Arial" w:cs="Arial"/>
                <w:sz w:val="21"/>
                <w:szCs w:val="21"/>
              </w:rPr>
              <w:t>Untersuchung und Eskalation an Tier 2. Benachrichtigung des betroffenen Teams.</w:t>
            </w:r>
          </w:p>
        </w:tc>
        <w:tc>
          <w:tcPr>
            <w:tcW w:w="2977" w:type="dxa"/>
          </w:tcPr>
          <w:p w14:paraId="05BD4752" w14:textId="5F449E60" w:rsidR="008216E9" w:rsidRPr="008216E9" w:rsidRDefault="008216E9" w:rsidP="008216E9">
            <w:pPr>
              <w:rPr>
                <w:rFonts w:ascii="Arial" w:hAnsi="Arial" w:cs="Arial"/>
                <w:sz w:val="21"/>
                <w:szCs w:val="21"/>
              </w:rPr>
            </w:pPr>
            <w:proofErr w:type="gramStart"/>
            <w:r w:rsidRPr="008216E9">
              <w:rPr>
                <w:rFonts w:ascii="Arial" w:hAnsi="Arial" w:cs="Arial"/>
                <w:sz w:val="21"/>
                <w:szCs w:val="21"/>
              </w:rPr>
              <w:t>SOC Tier</w:t>
            </w:r>
            <w:proofErr w:type="gramEnd"/>
            <w:r w:rsidRPr="008216E9">
              <w:rPr>
                <w:rFonts w:ascii="Arial" w:hAnsi="Arial" w:cs="Arial"/>
                <w:sz w:val="21"/>
                <w:szCs w:val="21"/>
              </w:rPr>
              <w:t xml:space="preserve"> 2 Analyst</w:t>
            </w:r>
          </w:p>
        </w:tc>
        <w:tc>
          <w:tcPr>
            <w:tcW w:w="1275" w:type="dxa"/>
          </w:tcPr>
          <w:p w14:paraId="4965CFAF" w14:textId="3DF94335" w:rsidR="008216E9" w:rsidRPr="008216E9" w:rsidRDefault="008216E9" w:rsidP="008216E9">
            <w:pPr>
              <w:rPr>
                <w:rFonts w:ascii="Arial" w:hAnsi="Arial" w:cs="Arial"/>
                <w:sz w:val="21"/>
                <w:szCs w:val="21"/>
              </w:rPr>
            </w:pPr>
            <w:r w:rsidRPr="008216E9">
              <w:rPr>
                <w:rFonts w:ascii="Arial" w:hAnsi="Arial" w:cs="Arial"/>
                <w:b/>
                <w:bCs/>
                <w:sz w:val="21"/>
                <w:szCs w:val="21"/>
              </w:rPr>
              <w:t>Mittel</w:t>
            </w:r>
          </w:p>
        </w:tc>
      </w:tr>
      <w:tr w:rsidR="008216E9" w:rsidRPr="008216E9" w14:paraId="463BAC6A" w14:textId="77777777" w:rsidTr="008216E9">
        <w:tc>
          <w:tcPr>
            <w:tcW w:w="2013" w:type="dxa"/>
          </w:tcPr>
          <w:p w14:paraId="502E4900" w14:textId="58FC1B50" w:rsidR="008216E9" w:rsidRPr="008216E9" w:rsidRDefault="008216E9" w:rsidP="008216E9">
            <w:pPr>
              <w:rPr>
                <w:rFonts w:ascii="Arial" w:hAnsi="Arial" w:cs="Arial"/>
                <w:sz w:val="21"/>
                <w:szCs w:val="21"/>
              </w:rPr>
            </w:pPr>
            <w:r w:rsidRPr="008216E9">
              <w:rPr>
                <w:rFonts w:ascii="Arial" w:hAnsi="Arial" w:cs="Arial"/>
                <w:b/>
                <w:bCs/>
                <w:sz w:val="21"/>
                <w:szCs w:val="21"/>
              </w:rPr>
              <w:t>Hoch</w:t>
            </w:r>
          </w:p>
        </w:tc>
        <w:tc>
          <w:tcPr>
            <w:tcW w:w="2802" w:type="dxa"/>
          </w:tcPr>
          <w:p w14:paraId="1AB373D2" w14:textId="460A3E64" w:rsidR="008216E9" w:rsidRPr="008216E9" w:rsidRDefault="008216E9" w:rsidP="008216E9">
            <w:pPr>
              <w:rPr>
                <w:rFonts w:ascii="Arial" w:hAnsi="Arial" w:cs="Arial"/>
                <w:sz w:val="21"/>
                <w:szCs w:val="21"/>
              </w:rPr>
            </w:pPr>
            <w:r w:rsidRPr="008216E9">
              <w:rPr>
                <w:rFonts w:ascii="Arial" w:hAnsi="Arial" w:cs="Arial"/>
                <w:sz w:val="21"/>
                <w:szCs w:val="21"/>
              </w:rPr>
              <w:t xml:space="preserve">Sofortige Eskalation an </w:t>
            </w:r>
            <w:proofErr w:type="gramStart"/>
            <w:r w:rsidRPr="008216E9">
              <w:rPr>
                <w:rFonts w:ascii="Arial" w:hAnsi="Arial" w:cs="Arial"/>
                <w:sz w:val="21"/>
                <w:szCs w:val="21"/>
              </w:rPr>
              <w:t>SOC Tier</w:t>
            </w:r>
            <w:proofErr w:type="gramEnd"/>
            <w:r w:rsidRPr="008216E9">
              <w:rPr>
                <w:rFonts w:ascii="Arial" w:hAnsi="Arial" w:cs="Arial"/>
                <w:sz w:val="21"/>
                <w:szCs w:val="21"/>
              </w:rPr>
              <w:t xml:space="preserve"> 3 und Sicherheitsbeauftragten. Eröffnung eines Major </w:t>
            </w:r>
            <w:proofErr w:type="spellStart"/>
            <w:r w:rsidRPr="008216E9">
              <w:rPr>
                <w:rFonts w:ascii="Arial" w:hAnsi="Arial" w:cs="Arial"/>
                <w:sz w:val="21"/>
                <w:szCs w:val="21"/>
              </w:rPr>
              <w:t>Incidents</w:t>
            </w:r>
            <w:proofErr w:type="spellEnd"/>
            <w:r w:rsidRPr="008216E9">
              <w:rPr>
                <w:rFonts w:ascii="Arial" w:hAnsi="Arial" w:cs="Arial"/>
                <w:sz w:val="21"/>
                <w:szCs w:val="21"/>
              </w:rPr>
              <w:t>.</w:t>
            </w:r>
          </w:p>
        </w:tc>
        <w:tc>
          <w:tcPr>
            <w:tcW w:w="2977" w:type="dxa"/>
          </w:tcPr>
          <w:p w14:paraId="716F0B90" w14:textId="66B3448F" w:rsidR="008216E9" w:rsidRPr="008216E9" w:rsidRDefault="008216E9" w:rsidP="008216E9">
            <w:pPr>
              <w:rPr>
                <w:rFonts w:ascii="Arial" w:hAnsi="Arial" w:cs="Arial"/>
                <w:sz w:val="21"/>
                <w:szCs w:val="21"/>
              </w:rPr>
            </w:pPr>
            <w:proofErr w:type="gramStart"/>
            <w:r w:rsidRPr="008216E9">
              <w:rPr>
                <w:rFonts w:ascii="Arial" w:hAnsi="Arial" w:cs="Arial"/>
                <w:sz w:val="21"/>
                <w:szCs w:val="21"/>
              </w:rPr>
              <w:t>SOC Tier</w:t>
            </w:r>
            <w:proofErr w:type="gramEnd"/>
            <w:r w:rsidRPr="008216E9">
              <w:rPr>
                <w:rFonts w:ascii="Arial" w:hAnsi="Arial" w:cs="Arial"/>
                <w:sz w:val="21"/>
                <w:szCs w:val="21"/>
              </w:rPr>
              <w:t xml:space="preserve"> 3 Analyst, Sicherheitsbeauftragter</w:t>
            </w:r>
          </w:p>
        </w:tc>
        <w:tc>
          <w:tcPr>
            <w:tcW w:w="1275" w:type="dxa"/>
          </w:tcPr>
          <w:p w14:paraId="4C1B9011" w14:textId="35683352" w:rsidR="008216E9" w:rsidRPr="008216E9" w:rsidRDefault="008216E9" w:rsidP="008216E9">
            <w:pPr>
              <w:rPr>
                <w:rFonts w:ascii="Arial" w:hAnsi="Arial" w:cs="Arial"/>
                <w:sz w:val="21"/>
                <w:szCs w:val="21"/>
              </w:rPr>
            </w:pPr>
            <w:r w:rsidRPr="008216E9">
              <w:rPr>
                <w:rFonts w:ascii="Arial" w:hAnsi="Arial" w:cs="Arial"/>
                <w:b/>
                <w:bCs/>
                <w:sz w:val="21"/>
                <w:szCs w:val="21"/>
              </w:rPr>
              <w:t>Hoch</w:t>
            </w:r>
          </w:p>
        </w:tc>
      </w:tr>
      <w:tr w:rsidR="008216E9" w:rsidRPr="008216E9" w14:paraId="45B4ED12" w14:textId="77777777" w:rsidTr="008216E9">
        <w:trPr>
          <w:cnfStyle w:val="000000010000" w:firstRow="0" w:lastRow="0" w:firstColumn="0" w:lastColumn="0" w:oddVBand="0" w:evenVBand="0" w:oddHBand="0" w:evenHBand="1" w:firstRowFirstColumn="0" w:firstRowLastColumn="0" w:lastRowFirstColumn="0" w:lastRowLastColumn="0"/>
        </w:trPr>
        <w:tc>
          <w:tcPr>
            <w:tcW w:w="2013" w:type="dxa"/>
          </w:tcPr>
          <w:p w14:paraId="7A523DBD" w14:textId="4587A145" w:rsidR="008216E9" w:rsidRPr="008216E9" w:rsidRDefault="008216E9" w:rsidP="008216E9">
            <w:pPr>
              <w:rPr>
                <w:rFonts w:ascii="Arial" w:hAnsi="Arial" w:cs="Arial"/>
                <w:sz w:val="21"/>
                <w:szCs w:val="21"/>
              </w:rPr>
            </w:pPr>
            <w:r w:rsidRPr="008216E9">
              <w:rPr>
                <w:rFonts w:ascii="Arial" w:hAnsi="Arial" w:cs="Arial"/>
                <w:b/>
                <w:bCs/>
                <w:sz w:val="21"/>
                <w:szCs w:val="21"/>
              </w:rPr>
              <w:t>Kritisch</w:t>
            </w:r>
          </w:p>
        </w:tc>
        <w:tc>
          <w:tcPr>
            <w:tcW w:w="2802" w:type="dxa"/>
          </w:tcPr>
          <w:p w14:paraId="401776B1" w14:textId="3C2A8E0C" w:rsidR="008216E9" w:rsidRPr="008216E9" w:rsidRDefault="008216E9" w:rsidP="008216E9">
            <w:pPr>
              <w:rPr>
                <w:rFonts w:ascii="Arial" w:hAnsi="Arial" w:cs="Arial"/>
                <w:sz w:val="21"/>
                <w:szCs w:val="21"/>
              </w:rPr>
            </w:pPr>
            <w:r w:rsidRPr="008216E9">
              <w:rPr>
                <w:rFonts w:ascii="Arial" w:hAnsi="Arial" w:cs="Arial"/>
                <w:sz w:val="21"/>
                <w:szCs w:val="21"/>
              </w:rPr>
              <w:t xml:space="preserve">Aktivierung des </w:t>
            </w:r>
            <w:proofErr w:type="spellStart"/>
            <w:r w:rsidRPr="008216E9">
              <w:rPr>
                <w:rFonts w:ascii="Arial" w:hAnsi="Arial" w:cs="Arial"/>
                <w:sz w:val="21"/>
                <w:szCs w:val="21"/>
              </w:rPr>
              <w:t>Incident</w:t>
            </w:r>
            <w:proofErr w:type="spellEnd"/>
            <w:r w:rsidRPr="008216E9">
              <w:rPr>
                <w:rFonts w:ascii="Arial" w:hAnsi="Arial" w:cs="Arial"/>
                <w:sz w:val="21"/>
                <w:szCs w:val="21"/>
              </w:rPr>
              <w:t xml:space="preserve"> Response Teams und Eskalation an das Management.</w:t>
            </w:r>
          </w:p>
        </w:tc>
        <w:tc>
          <w:tcPr>
            <w:tcW w:w="2977" w:type="dxa"/>
          </w:tcPr>
          <w:p w14:paraId="5F314807" w14:textId="37A8F26C" w:rsidR="008216E9" w:rsidRPr="008216E9" w:rsidRDefault="008216E9" w:rsidP="008216E9">
            <w:pPr>
              <w:rPr>
                <w:rFonts w:ascii="Arial" w:hAnsi="Arial" w:cs="Arial"/>
                <w:sz w:val="21"/>
                <w:szCs w:val="21"/>
                <w:lang w:val="en-US"/>
              </w:rPr>
            </w:pPr>
            <w:r w:rsidRPr="008216E9">
              <w:rPr>
                <w:rFonts w:ascii="Arial" w:hAnsi="Arial" w:cs="Arial"/>
                <w:sz w:val="21"/>
                <w:szCs w:val="21"/>
                <w:lang w:val="en-US"/>
              </w:rPr>
              <w:t>Incident Response Team, SOC Manager</w:t>
            </w:r>
          </w:p>
        </w:tc>
        <w:tc>
          <w:tcPr>
            <w:tcW w:w="1275" w:type="dxa"/>
          </w:tcPr>
          <w:p w14:paraId="00A52BAF" w14:textId="16D600D6" w:rsidR="008216E9" w:rsidRPr="008216E9" w:rsidRDefault="008216E9" w:rsidP="008216E9">
            <w:pPr>
              <w:rPr>
                <w:rFonts w:ascii="Arial" w:hAnsi="Arial" w:cs="Arial"/>
                <w:sz w:val="21"/>
                <w:szCs w:val="21"/>
              </w:rPr>
            </w:pPr>
            <w:r w:rsidRPr="008216E9">
              <w:rPr>
                <w:rFonts w:ascii="Arial" w:hAnsi="Arial" w:cs="Arial"/>
                <w:b/>
                <w:bCs/>
                <w:sz w:val="21"/>
                <w:szCs w:val="21"/>
              </w:rPr>
              <w:t>Kritisch</w:t>
            </w:r>
          </w:p>
        </w:tc>
      </w:tr>
    </w:tbl>
    <w:p w14:paraId="759A2F17" w14:textId="77777777" w:rsidR="008E3789" w:rsidRPr="008216E9" w:rsidRDefault="008E3789" w:rsidP="008E3789">
      <w:pPr>
        <w:pStyle w:val="p2"/>
        <w:rPr>
          <w:rFonts w:ascii="Arial" w:hAnsi="Arial" w:cs="Arial"/>
        </w:rPr>
      </w:pPr>
    </w:p>
    <w:p w14:paraId="370D78F8"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7. Monitoring und Reporting</w:t>
      </w:r>
    </w:p>
    <w:p w14:paraId="1AE6A66D"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Dashboards:</w:t>
      </w:r>
      <w:r w:rsidRPr="008216E9">
        <w:rPr>
          <w:rFonts w:ascii="Arial" w:hAnsi="Arial" w:cs="Arial"/>
        </w:rPr>
        <w:t xml:space="preserve"> SOC-Dashboards zeigen die Verteilung der Vorfälle nach Klassifizierung.</w:t>
      </w:r>
    </w:p>
    <w:p w14:paraId="1D8B5F65"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Berichte:</w:t>
      </w:r>
      <w:r w:rsidRPr="008216E9">
        <w:rPr>
          <w:rFonts w:ascii="Arial" w:hAnsi="Arial" w:cs="Arial"/>
        </w:rPr>
        <w:t xml:space="preserve"> Monatliche Reports an das Management enthalten Statistiken über Vorfälle und ihre Klassifizierungen.</w:t>
      </w:r>
    </w:p>
    <w:p w14:paraId="06D75739" w14:textId="77777777" w:rsidR="008E3789" w:rsidRPr="008216E9" w:rsidRDefault="008E3789" w:rsidP="008E3789">
      <w:pPr>
        <w:pStyle w:val="p5"/>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b/>
          <w:bCs/>
        </w:rPr>
        <w:t>KPIs:</w:t>
      </w:r>
    </w:p>
    <w:p w14:paraId="0E39DBA9" w14:textId="77777777" w:rsidR="008E3789" w:rsidRPr="008216E9" w:rsidRDefault="008E3789" w:rsidP="008E3789">
      <w:pPr>
        <w:pStyle w:val="p7"/>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Anzahl der Vorfälle je Stufe.</w:t>
      </w:r>
    </w:p>
    <w:p w14:paraId="5CAC8D7A" w14:textId="77777777" w:rsidR="008E3789" w:rsidRPr="008216E9" w:rsidRDefault="008E3789" w:rsidP="008E3789">
      <w:pPr>
        <w:pStyle w:val="p7"/>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Mittlere Zeit zur Eskalation (MTTE).</w:t>
      </w:r>
    </w:p>
    <w:p w14:paraId="62BC6C2B" w14:textId="77777777" w:rsidR="008E3789" w:rsidRPr="008216E9" w:rsidRDefault="008E3789" w:rsidP="008E3789">
      <w:pPr>
        <w:pStyle w:val="p7"/>
        <w:rPr>
          <w:rFonts w:ascii="Arial" w:hAnsi="Arial" w:cs="Arial"/>
        </w:rPr>
      </w:pPr>
      <w:r w:rsidRPr="008216E9">
        <w:rPr>
          <w:rStyle w:val="apple-tab-span"/>
          <w:rFonts w:ascii="Arial" w:eastAsiaTheme="majorEastAsia" w:hAnsi="Arial" w:cs="Arial"/>
        </w:rPr>
        <w:tab/>
      </w:r>
      <w:r w:rsidRPr="008216E9">
        <w:rPr>
          <w:rFonts w:ascii="Arial" w:hAnsi="Arial" w:cs="Arial"/>
        </w:rPr>
        <w:t>•</w:t>
      </w:r>
      <w:r w:rsidRPr="008216E9">
        <w:rPr>
          <w:rStyle w:val="apple-tab-span"/>
          <w:rFonts w:ascii="Arial" w:eastAsiaTheme="majorEastAsia" w:hAnsi="Arial" w:cs="Arial"/>
        </w:rPr>
        <w:tab/>
      </w:r>
      <w:r w:rsidRPr="008216E9">
        <w:rPr>
          <w:rFonts w:ascii="Arial" w:hAnsi="Arial" w:cs="Arial"/>
        </w:rPr>
        <w:t>Mittlere Zeit zur Behebung (MTTR).</w:t>
      </w:r>
    </w:p>
    <w:p w14:paraId="718E8835" w14:textId="77777777" w:rsidR="008E3789" w:rsidRDefault="008E3789" w:rsidP="008E3789">
      <w:pPr>
        <w:pStyle w:val="p2"/>
        <w:rPr>
          <w:rFonts w:ascii="Arial" w:hAnsi="Arial" w:cs="Arial"/>
        </w:rPr>
      </w:pPr>
    </w:p>
    <w:p w14:paraId="34C32496" w14:textId="77777777" w:rsidR="0006491C" w:rsidRPr="008216E9" w:rsidRDefault="0006491C" w:rsidP="008E3789">
      <w:pPr>
        <w:pStyle w:val="p2"/>
        <w:rPr>
          <w:rFonts w:ascii="Arial" w:hAnsi="Arial" w:cs="Arial"/>
        </w:rPr>
      </w:pPr>
    </w:p>
    <w:p w14:paraId="040C4A40"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lastRenderedPageBreak/>
        <w:t>8. Überprüfung und Aktualisierung</w:t>
      </w:r>
    </w:p>
    <w:p w14:paraId="6689296D" w14:textId="77777777" w:rsidR="008E3789" w:rsidRPr="008216E9" w:rsidRDefault="008E3789" w:rsidP="008E3789">
      <w:pPr>
        <w:pStyle w:val="p4"/>
        <w:rPr>
          <w:rFonts w:ascii="Arial" w:hAnsi="Arial" w:cs="Arial"/>
        </w:rPr>
      </w:pPr>
    </w:p>
    <w:p w14:paraId="370732EF" w14:textId="77777777" w:rsidR="008E3789" w:rsidRPr="008216E9" w:rsidRDefault="008E3789" w:rsidP="008E3789">
      <w:pPr>
        <w:pStyle w:val="p3"/>
        <w:rPr>
          <w:rFonts w:ascii="Arial" w:hAnsi="Arial" w:cs="Arial"/>
        </w:rPr>
      </w:pPr>
      <w:r w:rsidRPr="008216E9">
        <w:rPr>
          <w:rFonts w:ascii="Arial" w:hAnsi="Arial" w:cs="Arial"/>
        </w:rPr>
        <w:t xml:space="preserve">Diese Matrix wird mindestens einmal jährlich oder bei Bedarf überprüft und aktualisiert. Änderungen werden vom </w:t>
      </w:r>
      <w:proofErr w:type="gramStart"/>
      <w:r w:rsidRPr="008216E9">
        <w:rPr>
          <w:rFonts w:ascii="Arial" w:hAnsi="Arial" w:cs="Arial"/>
        </w:rPr>
        <w:t>SOC Manager</w:t>
      </w:r>
      <w:proofErr w:type="gramEnd"/>
      <w:r w:rsidRPr="008216E9">
        <w:rPr>
          <w:rFonts w:ascii="Arial" w:hAnsi="Arial" w:cs="Arial"/>
        </w:rPr>
        <w:t xml:space="preserve"> und dem Sicherheitsbeauftragten genehmigt.</w:t>
      </w:r>
    </w:p>
    <w:p w14:paraId="2A39C9BA" w14:textId="77777777" w:rsidR="008E3789" w:rsidRPr="008216E9" w:rsidRDefault="008E3789" w:rsidP="008E3789">
      <w:pPr>
        <w:pStyle w:val="p2"/>
        <w:rPr>
          <w:rFonts w:ascii="Arial" w:hAnsi="Arial" w:cs="Arial"/>
        </w:rPr>
      </w:pPr>
    </w:p>
    <w:p w14:paraId="05FCA251" w14:textId="77777777" w:rsidR="008E3789" w:rsidRPr="008216E9" w:rsidRDefault="008E3789" w:rsidP="008E3789">
      <w:pPr>
        <w:pStyle w:val="berschrift2"/>
        <w:rPr>
          <w:rFonts w:ascii="Arial" w:hAnsi="Arial" w:cs="Arial"/>
          <w:b/>
          <w:color w:val="51358C"/>
        </w:rPr>
      </w:pPr>
      <w:r w:rsidRPr="008216E9">
        <w:rPr>
          <w:rFonts w:ascii="Arial" w:hAnsi="Arial" w:cs="Arial"/>
          <w:b/>
          <w:color w:val="51358C"/>
        </w:rPr>
        <w:t>9. Anhang: Beispiele für Vorfälle</w:t>
      </w:r>
    </w:p>
    <w:tbl>
      <w:tblPr>
        <w:tblStyle w:val="Formatvorlage1"/>
        <w:tblW w:w="0" w:type="auto"/>
        <w:tblLook w:val="04A0" w:firstRow="1" w:lastRow="0" w:firstColumn="1" w:lastColumn="0" w:noHBand="0" w:noVBand="1"/>
      </w:tblPr>
      <w:tblGrid>
        <w:gridCol w:w="1746"/>
        <w:gridCol w:w="7180"/>
      </w:tblGrid>
      <w:tr w:rsidR="00B72D54" w:rsidRPr="008216E9" w14:paraId="56F7B1BC" w14:textId="77777777" w:rsidTr="00B72D54">
        <w:trPr>
          <w:cnfStyle w:val="100000000000" w:firstRow="1" w:lastRow="0" w:firstColumn="0" w:lastColumn="0" w:oddVBand="0" w:evenVBand="0" w:oddHBand="0" w:evenHBand="0" w:firstRowFirstColumn="0" w:firstRowLastColumn="0" w:lastRowFirstColumn="0" w:lastRowLastColumn="0"/>
        </w:trPr>
        <w:tc>
          <w:tcPr>
            <w:tcW w:w="1746" w:type="dxa"/>
          </w:tcPr>
          <w:p w14:paraId="462DE0E7" w14:textId="3ECE741A" w:rsidR="00B72D54" w:rsidRPr="00B72D54" w:rsidRDefault="00B72D54" w:rsidP="00B72D54">
            <w:pPr>
              <w:pStyle w:val="p2"/>
              <w:rPr>
                <w:rFonts w:ascii="Arial" w:hAnsi="Arial" w:cs="Arial"/>
                <w:sz w:val="21"/>
                <w:szCs w:val="21"/>
              </w:rPr>
            </w:pPr>
            <w:r w:rsidRPr="00B72D54">
              <w:rPr>
                <w:rFonts w:ascii="Arial" w:hAnsi="Arial" w:cs="Arial"/>
                <w:b/>
                <w:bCs/>
                <w:sz w:val="21"/>
                <w:szCs w:val="21"/>
              </w:rPr>
              <w:t>Stufe</w:t>
            </w:r>
          </w:p>
        </w:tc>
        <w:tc>
          <w:tcPr>
            <w:tcW w:w="7180" w:type="dxa"/>
          </w:tcPr>
          <w:p w14:paraId="6919C8FE" w14:textId="321C5206" w:rsidR="00B72D54" w:rsidRPr="00B72D54" w:rsidRDefault="00B72D54" w:rsidP="00B72D54">
            <w:pPr>
              <w:pStyle w:val="p2"/>
              <w:rPr>
                <w:rFonts w:ascii="Arial" w:hAnsi="Arial" w:cs="Arial"/>
                <w:sz w:val="21"/>
                <w:szCs w:val="21"/>
              </w:rPr>
            </w:pPr>
            <w:r w:rsidRPr="00B72D54">
              <w:rPr>
                <w:rFonts w:ascii="Arial" w:hAnsi="Arial" w:cs="Arial"/>
                <w:b/>
                <w:bCs/>
                <w:sz w:val="21"/>
                <w:szCs w:val="21"/>
              </w:rPr>
              <w:t>Beispiele</w:t>
            </w:r>
          </w:p>
        </w:tc>
      </w:tr>
      <w:tr w:rsidR="00B72D54" w:rsidRPr="008216E9" w14:paraId="677E9B81" w14:textId="77777777" w:rsidTr="00B72D54">
        <w:tc>
          <w:tcPr>
            <w:tcW w:w="1746" w:type="dxa"/>
          </w:tcPr>
          <w:p w14:paraId="776A4A71" w14:textId="66198D18" w:rsidR="00B72D54" w:rsidRPr="00B72D54" w:rsidRDefault="00B72D54" w:rsidP="00B72D54">
            <w:pPr>
              <w:rPr>
                <w:rFonts w:ascii="Arial" w:hAnsi="Arial" w:cs="Arial"/>
                <w:sz w:val="21"/>
                <w:szCs w:val="21"/>
              </w:rPr>
            </w:pPr>
            <w:r w:rsidRPr="00B72D54">
              <w:rPr>
                <w:rFonts w:ascii="Arial" w:hAnsi="Arial" w:cs="Arial"/>
                <w:b/>
                <w:bCs/>
                <w:sz w:val="21"/>
                <w:szCs w:val="21"/>
              </w:rPr>
              <w:t>Niedrig</w:t>
            </w:r>
          </w:p>
        </w:tc>
        <w:tc>
          <w:tcPr>
            <w:tcW w:w="7180" w:type="dxa"/>
          </w:tcPr>
          <w:p w14:paraId="43B6C663" w14:textId="1CABCD8D" w:rsidR="00B72D54" w:rsidRPr="00B72D54" w:rsidRDefault="00B72D54" w:rsidP="00B72D54">
            <w:pPr>
              <w:rPr>
                <w:rFonts w:ascii="Arial" w:hAnsi="Arial" w:cs="Arial"/>
                <w:sz w:val="21"/>
                <w:szCs w:val="21"/>
              </w:rPr>
            </w:pPr>
            <w:r w:rsidRPr="00B72D54">
              <w:rPr>
                <w:rFonts w:ascii="Arial" w:hAnsi="Arial" w:cs="Arial"/>
                <w:sz w:val="21"/>
                <w:szCs w:val="21"/>
              </w:rPr>
              <w:t>Spam-E-Mail, die blockiert wurde.</w:t>
            </w:r>
          </w:p>
        </w:tc>
      </w:tr>
      <w:tr w:rsidR="00B72D54" w:rsidRPr="008216E9" w14:paraId="2F82F703" w14:textId="77777777" w:rsidTr="00B72D54">
        <w:trPr>
          <w:cnfStyle w:val="000000010000" w:firstRow="0" w:lastRow="0" w:firstColumn="0" w:lastColumn="0" w:oddVBand="0" w:evenVBand="0" w:oddHBand="0" w:evenHBand="1" w:firstRowFirstColumn="0" w:firstRowLastColumn="0" w:lastRowFirstColumn="0" w:lastRowLastColumn="0"/>
        </w:trPr>
        <w:tc>
          <w:tcPr>
            <w:tcW w:w="1746" w:type="dxa"/>
          </w:tcPr>
          <w:p w14:paraId="7F20803F" w14:textId="4CD267E6" w:rsidR="00B72D54" w:rsidRPr="00B72D54" w:rsidRDefault="00B72D54" w:rsidP="00B72D54">
            <w:pPr>
              <w:rPr>
                <w:rFonts w:ascii="Arial" w:hAnsi="Arial" w:cs="Arial"/>
                <w:sz w:val="21"/>
                <w:szCs w:val="21"/>
              </w:rPr>
            </w:pPr>
            <w:r w:rsidRPr="00B72D54">
              <w:rPr>
                <w:rFonts w:ascii="Arial" w:hAnsi="Arial" w:cs="Arial"/>
                <w:b/>
                <w:bCs/>
                <w:sz w:val="21"/>
                <w:szCs w:val="21"/>
              </w:rPr>
              <w:t>Mittel</w:t>
            </w:r>
          </w:p>
        </w:tc>
        <w:tc>
          <w:tcPr>
            <w:tcW w:w="7180" w:type="dxa"/>
          </w:tcPr>
          <w:p w14:paraId="1CE4EFAB" w14:textId="034AEC73" w:rsidR="00B72D54" w:rsidRPr="00B72D54" w:rsidRDefault="00B72D54" w:rsidP="00B72D54">
            <w:pPr>
              <w:rPr>
                <w:rFonts w:ascii="Arial" w:hAnsi="Arial" w:cs="Arial"/>
                <w:sz w:val="21"/>
                <w:szCs w:val="21"/>
              </w:rPr>
            </w:pPr>
            <w:r w:rsidRPr="00B72D54">
              <w:rPr>
                <w:rFonts w:ascii="Arial" w:hAnsi="Arial" w:cs="Arial"/>
                <w:sz w:val="21"/>
                <w:szCs w:val="21"/>
              </w:rPr>
              <w:t>Verdächtige Anmeldung von einem unbekannten Gerät.</w:t>
            </w:r>
          </w:p>
        </w:tc>
      </w:tr>
      <w:tr w:rsidR="00B72D54" w:rsidRPr="008216E9" w14:paraId="747A008E" w14:textId="77777777" w:rsidTr="00B72D54">
        <w:tc>
          <w:tcPr>
            <w:tcW w:w="1746" w:type="dxa"/>
          </w:tcPr>
          <w:p w14:paraId="4E4AF532" w14:textId="630F10CD" w:rsidR="00B72D54" w:rsidRPr="00B72D54" w:rsidRDefault="00B72D54" w:rsidP="00B72D54">
            <w:pPr>
              <w:rPr>
                <w:rFonts w:ascii="Arial" w:hAnsi="Arial" w:cs="Arial"/>
                <w:sz w:val="21"/>
                <w:szCs w:val="21"/>
              </w:rPr>
            </w:pPr>
            <w:r w:rsidRPr="00B72D54">
              <w:rPr>
                <w:rFonts w:ascii="Arial" w:hAnsi="Arial" w:cs="Arial"/>
                <w:b/>
                <w:bCs/>
                <w:sz w:val="21"/>
                <w:szCs w:val="21"/>
              </w:rPr>
              <w:t>Hoch</w:t>
            </w:r>
          </w:p>
        </w:tc>
        <w:tc>
          <w:tcPr>
            <w:tcW w:w="7180" w:type="dxa"/>
          </w:tcPr>
          <w:p w14:paraId="2CAD6777" w14:textId="47CC2245" w:rsidR="00B72D54" w:rsidRPr="00B72D54" w:rsidRDefault="00B72D54" w:rsidP="00B72D54">
            <w:pPr>
              <w:rPr>
                <w:rFonts w:ascii="Arial" w:hAnsi="Arial" w:cs="Arial"/>
                <w:sz w:val="21"/>
                <w:szCs w:val="21"/>
              </w:rPr>
            </w:pPr>
            <w:r w:rsidRPr="00B72D54">
              <w:rPr>
                <w:rFonts w:ascii="Arial" w:hAnsi="Arial" w:cs="Arial"/>
                <w:sz w:val="21"/>
                <w:szCs w:val="21"/>
              </w:rPr>
              <w:t>Angriff mit einem bekannten Exploit auf einen Webserver.</w:t>
            </w:r>
          </w:p>
        </w:tc>
      </w:tr>
      <w:tr w:rsidR="00B72D54" w:rsidRPr="008216E9" w14:paraId="62529B86" w14:textId="77777777" w:rsidTr="00B72D54">
        <w:trPr>
          <w:cnfStyle w:val="000000010000" w:firstRow="0" w:lastRow="0" w:firstColumn="0" w:lastColumn="0" w:oddVBand="0" w:evenVBand="0" w:oddHBand="0" w:evenHBand="1" w:firstRowFirstColumn="0" w:firstRowLastColumn="0" w:lastRowFirstColumn="0" w:lastRowLastColumn="0"/>
        </w:trPr>
        <w:tc>
          <w:tcPr>
            <w:tcW w:w="1746" w:type="dxa"/>
          </w:tcPr>
          <w:p w14:paraId="787E5DCF" w14:textId="7D4B7C37" w:rsidR="00B72D54" w:rsidRPr="00B72D54" w:rsidRDefault="00B72D54" w:rsidP="00B72D54">
            <w:pPr>
              <w:rPr>
                <w:rFonts w:ascii="Arial" w:hAnsi="Arial" w:cs="Arial"/>
                <w:sz w:val="21"/>
                <w:szCs w:val="21"/>
              </w:rPr>
            </w:pPr>
            <w:r w:rsidRPr="00B72D54">
              <w:rPr>
                <w:rFonts w:ascii="Arial" w:hAnsi="Arial" w:cs="Arial"/>
                <w:b/>
                <w:bCs/>
                <w:sz w:val="21"/>
                <w:szCs w:val="21"/>
              </w:rPr>
              <w:t>Kritisch</w:t>
            </w:r>
          </w:p>
        </w:tc>
        <w:tc>
          <w:tcPr>
            <w:tcW w:w="7180" w:type="dxa"/>
          </w:tcPr>
          <w:p w14:paraId="22E1D8BE" w14:textId="53E9514D" w:rsidR="00B72D54" w:rsidRPr="00B72D54" w:rsidRDefault="00B72D54" w:rsidP="00B72D54">
            <w:pPr>
              <w:rPr>
                <w:rFonts w:ascii="Arial" w:hAnsi="Arial" w:cs="Arial"/>
                <w:sz w:val="21"/>
                <w:szCs w:val="21"/>
              </w:rPr>
            </w:pPr>
            <w:r w:rsidRPr="00B72D54">
              <w:rPr>
                <w:rFonts w:ascii="Arial" w:hAnsi="Arial" w:cs="Arial"/>
                <w:sz w:val="21"/>
                <w:szCs w:val="21"/>
              </w:rPr>
              <w:t>Datenleck mit sensiblen Kundendaten, Verschlüsselung des gesamten Netzwerks durch Ransomware.</w:t>
            </w:r>
          </w:p>
        </w:tc>
      </w:tr>
    </w:tbl>
    <w:p w14:paraId="47EBA450" w14:textId="77777777" w:rsidR="008E3789" w:rsidRDefault="008E3789" w:rsidP="008E3789">
      <w:pPr>
        <w:pStyle w:val="p2"/>
        <w:rPr>
          <w:rFonts w:ascii="Arial" w:hAnsi="Arial" w:cs="Arial"/>
        </w:rPr>
      </w:pPr>
    </w:p>
    <w:p w14:paraId="605A2D3F" w14:textId="38E0D29C" w:rsidR="00B81CA7" w:rsidRPr="008216E9" w:rsidRDefault="00B81CA7" w:rsidP="008E3789">
      <w:pPr>
        <w:pStyle w:val="p6"/>
        <w:rPr>
          <w:rFonts w:ascii="Arial" w:hAnsi="Arial" w:cs="Arial"/>
        </w:rPr>
      </w:pPr>
    </w:p>
    <w:sectPr w:rsidR="00B81CA7" w:rsidRPr="008216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B9A07" w14:textId="77777777" w:rsidR="006A6F5D" w:rsidRDefault="006A6F5D" w:rsidP="008216E9">
      <w:r>
        <w:separator/>
      </w:r>
    </w:p>
  </w:endnote>
  <w:endnote w:type="continuationSeparator" w:id="0">
    <w:p w14:paraId="3A8E2719" w14:textId="77777777" w:rsidR="006A6F5D" w:rsidRDefault="006A6F5D" w:rsidP="0082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E3BAA" w14:textId="168023C0" w:rsidR="008216E9" w:rsidRPr="008216E9" w:rsidRDefault="008216E9">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6D0C5" w14:textId="77777777" w:rsidR="006A6F5D" w:rsidRDefault="006A6F5D" w:rsidP="008216E9">
      <w:r>
        <w:separator/>
      </w:r>
    </w:p>
  </w:footnote>
  <w:footnote w:type="continuationSeparator" w:id="0">
    <w:p w14:paraId="0A0543C5" w14:textId="77777777" w:rsidR="006A6F5D" w:rsidRDefault="006A6F5D" w:rsidP="00821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5D4EA" w14:textId="59278210" w:rsidR="008216E9" w:rsidRDefault="008216E9" w:rsidP="008216E9">
    <w:pPr>
      <w:pStyle w:val="Kopfzeile"/>
      <w:pBdr>
        <w:bottom w:val="single" w:sz="6" w:space="1" w:color="auto"/>
      </w:pBdr>
    </w:pPr>
    <w:r w:rsidRPr="00AD6D4A">
      <w:rPr>
        <w:noProof/>
      </w:rPr>
      <w:drawing>
        <wp:inline distT="0" distB="0" distL="0" distR="0" wp14:anchorId="5BFC472D" wp14:editId="78438341">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DFF"/>
    <w:multiLevelType w:val="hybridMultilevel"/>
    <w:tmpl w:val="0B40E976"/>
    <w:lvl w:ilvl="0" w:tplc="04070001">
      <w:start w:val="1"/>
      <w:numFmt w:val="bullet"/>
      <w:lvlText w:val=""/>
      <w:lvlJc w:val="left"/>
      <w:pPr>
        <w:ind w:left="915" w:hanging="360"/>
      </w:pPr>
      <w:rPr>
        <w:rFonts w:ascii="Symbol" w:hAnsi="Symbo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 w15:restartNumberingAfterBreak="0">
    <w:nsid w:val="646B165D"/>
    <w:multiLevelType w:val="hybridMultilevel"/>
    <w:tmpl w:val="20EE8E5A"/>
    <w:lvl w:ilvl="0" w:tplc="7FFC443A">
      <w:start w:val="3"/>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num w:numId="1" w16cid:durableId="1081633655">
    <w:abstractNumId w:val="0"/>
  </w:num>
  <w:num w:numId="2" w16cid:durableId="28878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89"/>
    <w:rsid w:val="0006491C"/>
    <w:rsid w:val="00681F61"/>
    <w:rsid w:val="006A6F5D"/>
    <w:rsid w:val="006C2B25"/>
    <w:rsid w:val="008216E9"/>
    <w:rsid w:val="008E3789"/>
    <w:rsid w:val="00B72D54"/>
    <w:rsid w:val="00B81CA7"/>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B8A5"/>
  <w15:chartTrackingRefBased/>
  <w15:docId w15:val="{5609FBD1-9919-384F-844C-481FCF70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2D54"/>
  </w:style>
  <w:style w:type="paragraph" w:styleId="berschrift1">
    <w:name w:val="heading 1"/>
    <w:basedOn w:val="Standard"/>
    <w:next w:val="Standard"/>
    <w:link w:val="berschrift1Zchn"/>
    <w:uiPriority w:val="9"/>
    <w:qFormat/>
    <w:rsid w:val="008E3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E3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37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37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37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378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378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378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378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7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E37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37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37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37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37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37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37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3789"/>
    <w:rPr>
      <w:rFonts w:eastAsiaTheme="majorEastAsia" w:cstheme="majorBidi"/>
      <w:color w:val="272727" w:themeColor="text1" w:themeTint="D8"/>
    </w:rPr>
  </w:style>
  <w:style w:type="paragraph" w:styleId="Titel">
    <w:name w:val="Title"/>
    <w:basedOn w:val="Standard"/>
    <w:next w:val="Standard"/>
    <w:link w:val="TitelZchn"/>
    <w:uiPriority w:val="10"/>
    <w:qFormat/>
    <w:rsid w:val="008E378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37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378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37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378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E3789"/>
    <w:rPr>
      <w:i/>
      <w:iCs/>
      <w:color w:val="404040" w:themeColor="text1" w:themeTint="BF"/>
    </w:rPr>
  </w:style>
  <w:style w:type="paragraph" w:styleId="Listenabsatz">
    <w:name w:val="List Paragraph"/>
    <w:basedOn w:val="Standard"/>
    <w:uiPriority w:val="34"/>
    <w:qFormat/>
    <w:rsid w:val="008E3789"/>
    <w:pPr>
      <w:ind w:left="720"/>
      <w:contextualSpacing/>
    </w:pPr>
  </w:style>
  <w:style w:type="character" w:styleId="IntensiveHervorhebung">
    <w:name w:val="Intense Emphasis"/>
    <w:basedOn w:val="Absatz-Standardschriftart"/>
    <w:uiPriority w:val="21"/>
    <w:qFormat/>
    <w:rsid w:val="008E3789"/>
    <w:rPr>
      <w:i/>
      <w:iCs/>
      <w:color w:val="0F4761" w:themeColor="accent1" w:themeShade="BF"/>
    </w:rPr>
  </w:style>
  <w:style w:type="paragraph" w:styleId="IntensivesZitat">
    <w:name w:val="Intense Quote"/>
    <w:basedOn w:val="Standard"/>
    <w:next w:val="Standard"/>
    <w:link w:val="IntensivesZitatZchn"/>
    <w:uiPriority w:val="30"/>
    <w:qFormat/>
    <w:rsid w:val="008E3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3789"/>
    <w:rPr>
      <w:i/>
      <w:iCs/>
      <w:color w:val="0F4761" w:themeColor="accent1" w:themeShade="BF"/>
    </w:rPr>
  </w:style>
  <w:style w:type="character" w:styleId="IntensiverVerweis">
    <w:name w:val="Intense Reference"/>
    <w:basedOn w:val="Absatz-Standardschriftart"/>
    <w:uiPriority w:val="32"/>
    <w:qFormat/>
    <w:rsid w:val="008E3789"/>
    <w:rPr>
      <w:b/>
      <w:bCs/>
      <w:smallCaps/>
      <w:color w:val="0F4761" w:themeColor="accent1" w:themeShade="BF"/>
      <w:spacing w:val="5"/>
    </w:rPr>
  </w:style>
  <w:style w:type="paragraph" w:customStyle="1" w:styleId="p1">
    <w:name w:val="p1"/>
    <w:basedOn w:val="Standard"/>
    <w:rsid w:val="008E3789"/>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8E3789"/>
    <w:rPr>
      <w:rFonts w:ascii="Times New Roman" w:eastAsia="Times New Roman" w:hAnsi="Times New Roman" w:cs="Times New Roman"/>
      <w:kern w:val="0"/>
      <w:lang w:eastAsia="de-DE"/>
      <w14:ligatures w14:val="none"/>
    </w:rPr>
  </w:style>
  <w:style w:type="paragraph" w:customStyle="1" w:styleId="p3">
    <w:name w:val="p3"/>
    <w:basedOn w:val="Standard"/>
    <w:rsid w:val="008E3789"/>
    <w:rPr>
      <w:rFonts w:ascii=".AppleSystemUIFont" w:eastAsia="Times New Roman" w:hAnsi=".AppleSystemUIFont" w:cs="Times New Roman"/>
      <w:color w:val="0E0E0E"/>
      <w:kern w:val="0"/>
      <w:sz w:val="21"/>
      <w:szCs w:val="21"/>
      <w:lang w:eastAsia="de-DE"/>
      <w14:ligatures w14:val="none"/>
    </w:rPr>
  </w:style>
  <w:style w:type="paragraph" w:customStyle="1" w:styleId="p4">
    <w:name w:val="p4"/>
    <w:basedOn w:val="Standard"/>
    <w:rsid w:val="008E3789"/>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8E3789"/>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8E3789"/>
    <w:rPr>
      <w:rFonts w:ascii=".AppleSystemUIFont" w:eastAsia="Times New Roman" w:hAnsi=".AppleSystemUIFont" w:cs="Times New Roman"/>
      <w:color w:val="0E0E0E"/>
      <w:kern w:val="0"/>
      <w:sz w:val="20"/>
      <w:szCs w:val="20"/>
      <w:lang w:eastAsia="de-DE"/>
      <w14:ligatures w14:val="none"/>
    </w:rPr>
  </w:style>
  <w:style w:type="paragraph" w:customStyle="1" w:styleId="p7">
    <w:name w:val="p7"/>
    <w:basedOn w:val="Standard"/>
    <w:rsid w:val="008E3789"/>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8E3789"/>
  </w:style>
  <w:style w:type="paragraph" w:styleId="Kopfzeile">
    <w:name w:val="header"/>
    <w:basedOn w:val="Standard"/>
    <w:link w:val="KopfzeileZchn"/>
    <w:uiPriority w:val="99"/>
    <w:unhideWhenUsed/>
    <w:rsid w:val="008216E9"/>
    <w:pPr>
      <w:tabs>
        <w:tab w:val="center" w:pos="4536"/>
        <w:tab w:val="right" w:pos="9072"/>
      </w:tabs>
    </w:pPr>
  </w:style>
  <w:style w:type="character" w:customStyle="1" w:styleId="KopfzeileZchn">
    <w:name w:val="Kopfzeile Zchn"/>
    <w:basedOn w:val="Absatz-Standardschriftart"/>
    <w:link w:val="Kopfzeile"/>
    <w:uiPriority w:val="99"/>
    <w:rsid w:val="008216E9"/>
  </w:style>
  <w:style w:type="paragraph" w:styleId="Fuzeile">
    <w:name w:val="footer"/>
    <w:basedOn w:val="Standard"/>
    <w:link w:val="FuzeileZchn"/>
    <w:uiPriority w:val="99"/>
    <w:unhideWhenUsed/>
    <w:rsid w:val="008216E9"/>
    <w:pPr>
      <w:tabs>
        <w:tab w:val="center" w:pos="4536"/>
        <w:tab w:val="right" w:pos="9072"/>
      </w:tabs>
    </w:pPr>
  </w:style>
  <w:style w:type="character" w:customStyle="1" w:styleId="FuzeileZchn">
    <w:name w:val="Fußzeile Zchn"/>
    <w:basedOn w:val="Absatz-Standardschriftart"/>
    <w:link w:val="Fuzeile"/>
    <w:uiPriority w:val="99"/>
    <w:rsid w:val="008216E9"/>
  </w:style>
  <w:style w:type="table" w:customStyle="1" w:styleId="Formatvorlage1">
    <w:name w:val="Formatvorlage1"/>
    <w:basedOn w:val="NormaleTabelle"/>
    <w:uiPriority w:val="99"/>
    <w:rsid w:val="008216E9"/>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7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3231</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5</cp:revision>
  <dcterms:created xsi:type="dcterms:W3CDTF">2025-01-07T12:35:00Z</dcterms:created>
  <dcterms:modified xsi:type="dcterms:W3CDTF">2025-01-07T20:30:00Z</dcterms:modified>
</cp:coreProperties>
</file>