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sz w:val="24"/>
        </w:rPr>
        <w:t>DATA ANALYSIS REPORT</w:t>
      </w:r>
    </w:p>
    <w:p>
      <w:pPr>
        <w:jc w:val="center"/>
      </w:pPr>
      <w:r>
        <w:rPr>
          <w:b/>
          <w:i w:val="0"/>
          <w:color w:val="1F5C99"/>
          <w:sz w:val="52"/>
        </w:rPr>
        <w:t>UK DEFRA Emission Factor Explorer &amp; Carbon Calculator</w:t>
      </w:r>
    </w:p>
    <w:p>
      <w:pPr>
        <w:jc w:val="center"/>
      </w:pPr>
      <w:r>
        <w:rPr>
          <w:b w:val="0"/>
          <w:i/>
          <w:sz w:val="24"/>
        </w:rPr>
        <w:t>Exploratory Data Analysis · Data Cleaning · Carbon Emission Calculator</w:t>
      </w:r>
    </w:p>
    <w:p/>
    <w:p>
      <w:pPr>
        <w:jc w:val="center"/>
      </w:pPr>
      <w:r>
        <w:rPr>
          <w:b w:val="0"/>
          <w:i w:val="0"/>
          <w:sz w:val="22"/>
        </w:rPr>
        <w:t>Based on the UK DEFRA / BEIS Greenhouse Gas Conversion Factors 2026 dataset</w:t>
      </w:r>
    </w:p>
    <w:p/>
    <w:p/>
    <w:p/>
    <w:p/>
    <w:p/>
    <w:p/>
    <w:p>
      <w:pPr>
        <w:jc w:val="center"/>
      </w:pPr>
      <w:r>
        <w:rPr>
          <w:b w:val="0"/>
          <w:i w:val="0"/>
          <w:sz w:val="24"/>
        </w:rPr>
        <w:t>Author: Data Analyst</w:t>
      </w:r>
    </w:p>
    <w:p>
      <w:pPr>
        <w:jc w:val="center"/>
      </w:pPr>
      <w:r>
        <w:rPr>
          <w:b w:val="0"/>
          <w:i w:val="0"/>
          <w:sz w:val="24"/>
        </w:rPr>
        <w:t>Date: 24 September 2026</w:t>
      </w:r>
    </w:p>
    <w:p>
      <w:r>
        <w:br w:type="page"/>
      </w:r>
    </w:p>
    <w:p>
      <w:pPr>
        <w:pStyle w:val="Heading1"/>
      </w:pPr>
      <w:r>
        <w:rPr>
          <w:color w:val="1F5C99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/>
        <w:fldChar w:fldCharType="end"/>
      </w:r>
    </w:p>
    <w:p>
      <w:r>
        <w:rPr>
          <w:b w:val="0"/>
          <w:i/>
          <w:sz w:val="18"/>
        </w:rPr>
        <w:t>If the table of contents is empty, right-click it in Word and choose “Update Field” → “Update entire table”.</w:t>
      </w:r>
    </w:p>
    <w:p>
      <w:r>
        <w:br w:type="page"/>
      </w:r>
    </w:p>
    <w:p>
      <w:pPr>
        <w:pStyle w:val="Heading1"/>
      </w:pPr>
      <w:r>
        <w:rPr>
          <w:color w:val="1F5C99"/>
        </w:rPr>
        <w:t>1. Introduction</w:t>
      </w:r>
    </w:p>
    <w:p>
      <w:pPr>
        <w:pStyle w:val="Heading2"/>
      </w:pPr>
      <w:r>
        <w:rPr>
          <w:color w:val="333333"/>
        </w:rPr>
        <w:t>1.1 Background of emission factors</w:t>
      </w:r>
    </w:p>
    <w:p>
      <w:r>
        <w:rPr>
          <w:b w:val="0"/>
          <w:i w:val="0"/>
        </w:rPr>
        <w:t>Emission factors convert an activity level (such as litres of fuel burned or kWh of energy consumed) into an equivalent quantity of greenhouse gases, normally expressed in kilograms of carbon-dioxide equivalent (kg CO2e). They are the arithmetic backbone of corporate carbon accounting under the GHG Protocol and national inventory systems.</w:t>
      </w:r>
    </w:p>
    <w:p>
      <w:pPr>
        <w:pStyle w:val="Heading2"/>
      </w:pPr>
      <w:r>
        <w:rPr>
          <w:color w:val="333333"/>
        </w:rPr>
        <w:t>1.2 Purpose of the DEFRA dataset</w:t>
      </w:r>
    </w:p>
    <w:p>
      <w:r>
        <w:rPr>
          <w:b w:val="0"/>
          <w:i w:val="0"/>
        </w:rPr>
        <w:t>The UK government's Department for Environment, Food &amp; Rural Affairs (DEFRA), together with BEIS, publishes annually-revised conversion factors for fuel combustion. This project builds a reliable, transparent toolchain on top of that export: to clean and validate it, to explore it interactively, and to apply it safely in emission calculations.</w:t>
      </w:r>
    </w:p>
    <w:p>
      <w:pPr>
        <w:pStyle w:val="Heading1"/>
      </w:pPr>
      <w:r>
        <w:rPr>
          <w:color w:val="1F5C99"/>
        </w:rPr>
        <w:t>2. Project Objectives</w:t>
      </w:r>
    </w:p>
    <w:p>
      <w:pPr>
        <w:pStyle w:val="ListBullet"/>
      </w:pPr>
      <w:r>
        <w:t>Produce a clean, reproducible dataset with a transparent data-quality report.</w:t>
      </w:r>
    </w:p>
    <w:p>
      <w:pPr>
        <w:pStyle w:val="ListBullet"/>
      </w:pPr>
      <w:r>
        <w:t>Prevent analytical errors from comparing factors across incompatible activity units.</w:t>
      </w:r>
    </w:p>
    <w:p>
      <w:pPr>
        <w:pStyle w:val="ListBullet"/>
      </w:pPr>
      <w:r>
        <w:t>Deliver a validated, unit-aware carbon emission calculator.</w:t>
      </w:r>
    </w:p>
    <w:p>
      <w:pPr>
        <w:pStyle w:val="ListBullet"/>
      </w:pPr>
      <w:r>
        <w:t>Ship a modern, interactive Streamlit dashboard suitable for a professional portfolio.</w:t>
      </w:r>
    </w:p>
    <w:p>
      <w:pPr>
        <w:pStyle w:val="ListBullet"/>
      </w:pPr>
      <w:r>
        <w:t>Automate generation of a chart-rich analytical report.</w:t>
      </w:r>
    </w:p>
    <w:p>
      <w:pPr>
        <w:pStyle w:val="Heading1"/>
      </w:pPr>
      <w:r>
        <w:rPr>
          <w:color w:val="1F5C99"/>
        </w:rPr>
        <w:t>3. Dataset Description</w:t>
      </w:r>
    </w:p>
    <w:p>
      <w:r>
        <w:rPr>
          <w:b w:val="0"/>
          <w:i w:val="0"/>
        </w:rPr>
        <w:t>The dataset comprises 221 emission factors described by 13 source columns, covering 11 distinct activity units, 2 GHG categories, 2 gas basis values and 2 GHG scopes.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rows (factors)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 columns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Distinct activity units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GHG categories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Gas basis values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GHG scopes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 (unique)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DEFRA_2026</w:t>
            </w:r>
          </w:p>
        </w:tc>
      </w:tr>
    </w:tbl>
    <w:p/>
    <w:p>
      <w:pPr>
        <w:pStyle w:val="Heading2"/>
      </w:pPr>
      <w:r>
        <w:rPr>
          <w:color w:val="333333"/>
        </w:rPr>
        <w:t>3.1 Column descriptions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Stable dotted identifier for each emission factor (primary key).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Human-readable description of the fuel and activity.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emission factor magnitude.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Activity denominator, e.g. 'kg CO2e per litre'.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Impact basis: CO2e (GWP-weighted) or CO2 (biogenic memo).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gwp_set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Global Warming Potential basis, e.g. AR5_100; null on biogenic memo rows.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ghg_scope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GHG Protocol scope: scope1 or outside_scopes.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ghg_category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Reporting category: stationary_combustion or biogenic_co2_memo.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Dataset edition identifier (DEFRA_2026).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source_ref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Cell provenance in the source workbook, e.g. 'Fuels'!D62.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retrieved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the factor was retrieved from the source.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provenance and methodology caveats.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updated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the factor was last updated.</w:t>
            </w:r>
          </w:p>
        </w:tc>
      </w:tr>
    </w:tbl>
    <w:p/>
    <w:p>
      <w:pPr>
        <w:pStyle w:val="Heading1"/>
      </w:pPr>
      <w:r>
        <w:rPr>
          <w:color w:val="1F5C99"/>
        </w:rPr>
        <w:t>4. Data Cleaning</w:t>
      </w:r>
    </w:p>
    <w:p>
      <w:r>
        <w:rPr>
          <w:b w:val="0"/>
          <w:i w:val="0"/>
        </w:rPr>
        <w:t>The raw CSV is treated as immutable; all transformations run on copies. Cleaning means normalise, validate and flag — never silently drop legitimate data.</w:t>
      </w:r>
    </w:p>
    <w:p>
      <w:pPr>
        <w:pStyle w:val="Heading2"/>
      </w:pPr>
      <w:r>
        <w:rPr>
          <w:color w:val="333333"/>
        </w:rPr>
        <w:t>4.1 Missing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Missing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Missing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gwp_set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49.32</w:t>
            </w:r>
          </w:p>
        </w:tc>
      </w:tr>
    </w:tbl>
    <w:p/>
    <w:p>
      <w:r>
        <w:rPr>
          <w:b w:val="0"/>
          <w:i/>
          <w:sz w:val="20"/>
        </w:rPr>
        <w:t>`gwp_set` is null on 55 rows. These are the biogenic-CO2 memo factors, which are not GWP-weighted — a structural null by design, preserved rather than imputed. `note` is an optional provenance field. Unexpected nulls on core columns: 0.</w:t>
      </w:r>
    </w:p>
    <w:p>
      <w:pPr>
        <w:pStyle w:val="Heading2"/>
      </w:pPr>
      <w:r>
        <w:rPr>
          <w:color w:val="333333"/>
        </w:rPr>
        <w:t>4.2 Duplicate records</w:t>
      </w:r>
    </w:p>
    <w:p>
      <w:r>
        <w:rPr>
          <w:b w:val="0"/>
          <w:i w:val="0"/>
        </w:rPr>
        <w:t>Exact duplicate rows removed: 0. Duplicate keys (flagged, not removed): 0.</w:t>
      </w:r>
    </w:p>
    <w:p>
      <w:pPr>
        <w:pStyle w:val="Heading2"/>
      </w:pPr>
      <w:r>
        <w:rPr>
          <w:color w:val="333333"/>
        </w:rPr>
        <w:t>4.3 Data-type corrections</w:t>
      </w:r>
    </w:p>
    <w:p>
      <w:pPr>
        <w:pStyle w:val="ListBullet"/>
      </w:pPr>
      <w:r>
        <w:t>`value` coerced to a numeric type; non-numeric entries flagged (0 found).</w:t>
      </w:r>
    </w:p>
    <w:p>
      <w:pPr>
        <w:pStyle w:val="ListBullet"/>
      </w:pPr>
      <w:r>
        <w:t>`retrieved` and `updated` parsed into proper datetime columns.</w:t>
      </w:r>
    </w:p>
    <w:p>
      <w:pPr>
        <w:pStyle w:val="ListBullet"/>
      </w:pPr>
      <w:r>
        <w:t>Text fields trimmed, whitespace-collapsed and case-normalised to canonical spellings.</w:t>
      </w:r>
    </w:p>
    <w:p>
      <w:pPr>
        <w:pStyle w:val="Heading2"/>
      </w:pPr>
      <w:r>
        <w:rPr>
          <w:color w:val="333333"/>
        </w:rPr>
        <w:t>4.4 Data-quality issues &amp; methodology</w:t>
      </w:r>
    </w:p>
    <w:p>
      <w:pPr>
        <w:pStyle w:val="ListBullet"/>
      </w:pPr>
      <w:r>
        <w:t>Suspicious values flagged for review (never removed): 32.</w:t>
      </w:r>
    </w:p>
    <w:p>
      <w:pPr>
        <w:pStyle w:val="ListBullet"/>
      </w:pPr>
      <w:r>
        <w:t>Outlier detection uses a robust z-score on log-transformed values plus a conservative Tukey fence, computed WITHIN each activity unit to respect incompatible scales.</w:t>
      </w:r>
    </w:p>
    <w:p>
      <w:pPr>
        <w:pStyle w:val="ListBullet"/>
      </w:pPr>
      <w:r>
        <w:t>All legitimate DEFRA values — including genuinely high ones — are preserved.</w:t>
      </w:r>
    </w:p>
    <w:p>
      <w:pPr>
        <w:pStyle w:val="Heading1"/>
      </w:pPr>
      <w:r>
        <w:rPr>
          <w:color w:val="1F5C99"/>
        </w:rPr>
        <w:t>5. Exploratory Data Analysis</w:t>
      </w:r>
    </w:p>
    <w:p>
      <w:r>
        <w:rPr>
          <w:b w:val="0"/>
          <w:i w:val="0"/>
        </w:rPr>
        <w:t>Charts are generated directly from the cleaned dataset with matplotlib.</w:t>
      </w:r>
    </w:p>
    <w:p>
      <w:pPr>
        <w:pStyle w:val="Heading2"/>
      </w:pPr>
      <w:r>
        <w:rPr>
          <w:color w:val="333333"/>
        </w:rPr>
        <w:t>5.1 Composition</w:t>
      </w:r>
    </w:p>
    <w:p>
      <w:r>
        <w:rPr>
          <w:b w:val="0"/>
          <w:i w:val="0"/>
        </w:rPr>
        <w:t>Record counts by category are always comparable, unlike raw magnitudes.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5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_sco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1 — Number of emission factors by GHG scope.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2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_categ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2 — Number of emission factors by GHG category.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5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_un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3 — Number of emission factors by activity unit.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42537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s_don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25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4 — Share of factors by gas basis.</w:t>
      </w:r>
    </w:p>
    <w:p>
      <w:pPr>
        <w:pStyle w:val="Heading2"/>
      </w:pPr>
      <w:r>
        <w:rPr>
          <w:color w:val="333333"/>
        </w:rPr>
        <w:t>5.2 Distribution (within a single unit)</w:t>
      </w:r>
    </w:p>
    <w:p>
      <w:r>
        <w:rPr>
          <w:b w:val="0"/>
          <w:i w:val="0"/>
        </w:rPr>
        <w:t>Emission-factor magnitudes are only comparable within one unit. The distribution below shows the most common unit ('kg CO2e per kWh'): median 0.2555, mean 0.2392, min 0.0002, max 0.3767.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78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7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5 — Distribution of factors for unit 'kg CO2e per kWh'.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54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fact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Figure 6 — Top 12 emission factors (log scale; units differ).</w:t>
      </w:r>
    </w:p>
    <w:p>
      <w:pPr>
        <w:pStyle w:val="Heading1"/>
      </w:pPr>
      <w:r>
        <w:rPr>
          <w:color w:val="1F5C99"/>
        </w:rPr>
        <w:t>6. Emission Factor Analysis</w:t>
      </w:r>
    </w:p>
    <w:p>
      <w:r>
        <w:rPr>
          <w:b w:val="0"/>
          <w:i w:val="0"/>
        </w:rPr>
        <w:t>Key statistics segmented by the reporting dimensions present in the dataset.</w:t>
      </w:r>
    </w:p>
    <w:p>
      <w:pPr>
        <w:pStyle w:val="Heading3"/>
      </w:pPr>
      <w:r>
        <w:rPr>
          <w:color w:val="333333"/>
        </w:rPr>
        <w:t>6.1 Breakdown by GHG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GHG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Share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scope1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outside_scopes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24.9</w:t>
            </w:r>
          </w:p>
        </w:tc>
      </w:tr>
    </w:tbl>
    <w:p/>
    <w:p>
      <w:pPr>
        <w:pStyle w:val="Heading3"/>
      </w:pPr>
      <w:r>
        <w:rPr>
          <w:color w:val="333333"/>
        </w:rPr>
        <w:t>6.2 Breakdown by GHG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GHG 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Share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stationary_combustion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biogenic_co2_memo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24.9</w:t>
            </w:r>
          </w:p>
        </w:tc>
      </w:tr>
    </w:tbl>
    <w:p/>
    <w:p>
      <w:pPr>
        <w:pStyle w:val="Heading3"/>
      </w:pPr>
      <w:r>
        <w:rPr>
          <w:color w:val="333333"/>
        </w:rPr>
        <w:t>6.3 Breakdown by Gas basis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Gas basis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Share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CO2e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24.9</w:t>
            </w:r>
          </w:p>
        </w:tc>
      </w:tr>
    </w:tbl>
    <w:p/>
    <w:p>
      <w:pPr>
        <w:pStyle w:val="Heading3"/>
      </w:pPr>
      <w:r>
        <w:rPr>
          <w:color w:val="333333"/>
        </w:rPr>
        <w:t>6.4 Breakdown by GWP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GWP 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Share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AR5_100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24.9</w:t>
            </w:r>
          </w:p>
        </w:tc>
      </w:tr>
    </w:tbl>
    <w:p/>
    <w:p>
      <w:pPr>
        <w:pStyle w:val="Heading3"/>
      </w:pPr>
      <w:r>
        <w:rPr>
          <w:color w:val="333333"/>
        </w:rPr>
        <w:t>6.5 Extremes (contextualised by unit)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UK Petroleum coke — combustion (tonnes)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3,386.5717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kg CO2e per tonne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UK Landfill gas — combustion non-CO2 (kWh)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kg CO2e per kWh</w:t>
            </w:r>
          </w:p>
        </w:tc>
      </w:tr>
    </w:tbl>
    <w:p/>
    <w:p>
      <w:r>
        <w:rPr>
          <w:b w:val="0"/>
          <w:i/>
          <w:sz w:val="18"/>
        </w:rPr>
        <w:t>Highest and lowest factors use different units; the comparison is descriptive only, not a ranking of climate impact.</w:t>
      </w:r>
    </w:p>
    <w:p>
      <w:pPr>
        <w:pStyle w:val="Heading1"/>
      </w:pPr>
      <w:r>
        <w:rPr>
          <w:color w:val="1F5C99"/>
        </w:rPr>
        <w:t>7. Carbon Emission Calculator</w:t>
      </w:r>
    </w:p>
    <w:p>
      <w:r>
        <w:rPr>
          <w:b w:val="0"/>
          <w:i w:val="0"/>
        </w:rPr>
        <w:t>Formula:</w:t>
      </w:r>
    </w:p>
    <w:p>
      <w:r>
        <w:rPr>
          <w:b/>
          <w:i w:val="0"/>
        </w:rPr>
        <w:t>Emissions (kg CO2e) = Activity Amount  ×  Emission Factor (kg CO2e per unit)</w:t>
      </w:r>
    </w:p>
    <w:p>
      <w:r>
        <w:rPr>
          <w:b/>
          <w:i w:val="0"/>
        </w:rPr>
        <w:t>Emissions (tonnes CO2e) = Emissions (kg CO2e) ÷ 1000</w:t>
      </w:r>
    </w:p>
    <w:p>
      <w:pPr>
        <w:pStyle w:val="Heading2"/>
      </w:pPr>
      <w:r>
        <w:rPr>
          <w:color w:val="333333"/>
        </w:rPr>
        <w:t>7.1 Methodology</w:t>
      </w:r>
    </w:p>
    <w:p>
      <w:pPr>
        <w:pStyle w:val="ListBullet"/>
      </w:pPr>
      <w:r>
        <w:t>The activity unit must match the emission factor's denominator; incompatible inputs are rejected.</w:t>
      </w:r>
    </w:p>
    <w:p>
      <w:pPr>
        <w:pStyle w:val="ListBullet"/>
      </w:pPr>
      <w:r>
        <w:t>Negative, empty, non-numeric activity and non-positive factors are rejected.</w:t>
      </w:r>
    </w:p>
    <w:p>
      <w:pPr>
        <w:pStyle w:val="ListBullet"/>
      </w:pPr>
      <w:r>
        <w:t>The underlying calculation methodology is fixed and never altered by the app.</w:t>
      </w:r>
    </w:p>
    <w:p>
      <w:pPr>
        <w:pStyle w:val="Heading2"/>
      </w:pPr>
      <w:r>
        <w:rPr>
          <w:color w:val="333333"/>
        </w:rPr>
        <w:t>7.2 Worked example (from the actual dataset)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Emission factor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UK Aviation spirit — combustion (litres)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Factor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2.33116 kg CO2e per litre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 amount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 litre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 (kg CO2e)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233.116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 (tonnes CO2e)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0.233116</w:t>
            </w:r>
          </w:p>
        </w:tc>
      </w:tr>
    </w:tbl>
    <w:p/>
    <w:p>
      <w:r>
        <w:rPr>
          <w:b w:val="0"/>
          <w:i/>
        </w:rPr>
        <w:t>Calculation: 100 × 2.33116 = 233.116 kg CO2e = 0.233116 tonnes CO2e.</w:t>
      </w:r>
    </w:p>
    <w:p>
      <w:pPr>
        <w:pStyle w:val="Heading1"/>
      </w:pPr>
      <w:r>
        <w:rPr>
          <w:color w:val="1F5C99"/>
        </w:rPr>
        <w:t>8. Interactive Dashboard</w:t>
      </w:r>
    </w:p>
    <w:p>
      <w:r>
        <w:rPr>
          <w:b w:val="0"/>
          <w:i w:val="0"/>
        </w:rPr>
        <w:t>The Streamlit application provides four sections with sidebar navigation:</w:t>
      </w:r>
    </w:p>
    <w:p>
      <w:pPr>
        <w:pStyle w:val="ListBullet"/>
      </w:pPr>
      <w:r>
        <w:t>Overview — KPI cards, interactive Plotly charts and dynamically generated insights.</w:t>
      </w:r>
    </w:p>
    <w:p>
      <w:pPr>
        <w:pStyle w:val="ListBullet"/>
      </w:pPr>
      <w:r>
        <w:t>Emission Factor Explorer — searchable, filterable table with filtered-data download.</w:t>
      </w:r>
    </w:p>
    <w:p>
      <w:pPr>
        <w:pStyle w:val="ListBullet"/>
      </w:pPr>
      <w:r>
        <w:t>Carbon Calculator — unit-locked, validated emission computation with result export.</w:t>
      </w:r>
    </w:p>
    <w:p>
      <w:pPr>
        <w:pStyle w:val="ListBullet"/>
      </w:pPr>
      <w:r>
        <w:t>Data Quality — dimensions, dtypes, missing values, duplicates, invalid and flagged records.</w:t>
      </w:r>
    </w:p>
    <w:p>
      <w:r>
        <w:rPr>
          <w:b w:val="0"/>
          <w:i/>
          <w:sz w:val="18"/>
        </w:rPr>
        <w:t>Screenshots can be captured by running 'streamlit run app.py' and pasted here.</w:t>
      </w:r>
    </w:p>
    <w:p>
      <w:pPr>
        <w:pStyle w:val="Heading1"/>
      </w:pPr>
      <w:r>
        <w:rPr>
          <w:color w:val="1F5C99"/>
        </w:rPr>
        <w:t>9. Key Insights</w:t>
      </w:r>
    </w:p>
    <w:p>
      <w:r>
        <w:rPr>
          <w:b w:val="0"/>
          <w:i w:val="0"/>
        </w:rPr>
        <w:t>The following factual insights were computed automatically from the dataset:</w:t>
      </w:r>
    </w:p>
    <w:p>
      <w:pPr>
        <w:pStyle w:val="ListNumber"/>
      </w:pPr>
      <w:r>
        <w:t>01.  The dataset contains 221 DEFRA emission factors across 11 activity units.</w:t>
      </w:r>
    </w:p>
    <w:p>
      <w:pPr>
        <w:pStyle w:val="ListNumber"/>
      </w:pPr>
      <w:r>
        <w:t>02.  The most common GHG category is 'stationary_combustion' with 166 factors (75% of the dataset).</w:t>
      </w:r>
    </w:p>
    <w:p>
      <w:pPr>
        <w:pStyle w:val="ListNumber"/>
      </w:pPr>
      <w:r>
        <w:t>03.  The most frequently used activity unit is 'kg CO2e per kWh' (68 factors).</w:t>
      </w:r>
    </w:p>
    <w:p>
      <w:pPr>
        <w:pStyle w:val="ListNumber"/>
      </w:pPr>
      <w:r>
        <w:t>04.  Factors by GHG scope -&gt; scope1: 166, outside_scopes: 55.</w:t>
      </w:r>
    </w:p>
    <w:p>
      <w:pPr>
        <w:pStyle w:val="ListNumber"/>
      </w:pPr>
      <w:r>
        <w:t>05.  The dataset covers 2 gas basis value(s): CO2e (166), CO2 (55).</w:t>
      </w:r>
    </w:p>
    <w:p>
      <w:pPr>
        <w:pStyle w:val="ListNumber"/>
      </w:pPr>
      <w:r>
        <w:t>06.  GWP set information is present for 166 of 221 factors (75%); the remainder are biogenic-CO2 memo rows that are not GWP-weighted.</w:t>
      </w:r>
    </w:p>
    <w:p>
      <w:pPr>
        <w:pStyle w:val="ListNumber"/>
      </w:pPr>
      <w:r>
        <w:t>07.  Highest single factor: 3,386.5717 kg CO2e per tonne (UK Petroleum coke — combustion (tonnes)).</w:t>
      </w:r>
    </w:p>
    <w:p>
      <w:pPr>
        <w:pStyle w:val="ListNumber"/>
      </w:pPr>
      <w:r>
        <w:t>08.  Lowest single factor: 0.00020 kg CO2e per kWh (UK Landfill gas — combustion non-CO2 (kWh)).</w:t>
      </w:r>
    </w:p>
    <w:p>
      <w:pPr>
        <w:pStyle w:val="ListNumber"/>
      </w:pPr>
      <w:r>
        <w:t>09.  Median factor within the dominant unit 'kg CO2e per kWh' is 0.2555.</w:t>
      </w:r>
    </w:p>
    <w:p>
      <w:pPr>
        <w:pStyle w:val="ListNumber"/>
      </w:pPr>
      <w:r>
        <w:t>10.  All factors are attributed to source(s): DEFRA_2026 (221).</w:t>
      </w:r>
    </w:p>
    <w:p>
      <w:pPr>
        <w:pStyle w:val="ListNumber"/>
      </w:pPr>
      <w:r>
        <w:t>11.  Provenance notes are attached to 112 factors (51%), documenting assumptions and paired keys.</w:t>
      </w:r>
    </w:p>
    <w:p>
      <w:pPr>
        <w:pStyle w:val="Heading1"/>
      </w:pPr>
      <w:r>
        <w:rPr>
          <w:color w:val="1F5C99"/>
        </w:rPr>
        <w:t>10. Technologies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3.11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Language / analysis runtime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loading, cleaning and manipulation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Numerical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Plotly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Interactive dashboard charts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matplotlib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Static charts embedded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Interactive multi-page web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generation of this report</w:t>
            </w:r>
          </w:p>
        </w:tc>
      </w:tr>
    </w:tbl>
    <w:p/>
    <w:p>
      <w:pPr>
        <w:pStyle w:val="Heading1"/>
      </w:pPr>
      <w:r>
        <w:rPr>
          <w:color w:val="1F5C99"/>
        </w:rPr>
        <w:t>11. Project Architecture</w:t>
      </w:r>
    </w:p>
    <w:p>
      <w:r>
        <w:rPr>
          <w:b w:val="0"/>
          <w:i w:val="0"/>
        </w:rPr>
        <w:t>A layered design separates concerns and keeps the modules independently testable:</w:t>
      </w:r>
    </w:p>
    <w:p>
      <w:pPr>
        <w:pStyle w:val="ListBullet"/>
      </w:pPr>
      <w:r>
        <w:t>src/data_loader.py — locates the raw CSV (immutable) and the cleaned artefact.</w:t>
      </w:r>
    </w:p>
    <w:p>
      <w:pPr>
        <w:pStyle w:val="ListBullet"/>
      </w:pPr>
      <w:r>
        <w:t>src/data_cleaning.py — the clean() pipeline and quality metrics.</w:t>
      </w:r>
    </w:p>
    <w:p>
      <w:pPr>
        <w:pStyle w:val="ListBullet"/>
      </w:pPr>
      <w:r>
        <w:t>src/calculations.py — pure, dependency-free emission engine with validation.</w:t>
      </w:r>
    </w:p>
    <w:p>
      <w:pPr>
        <w:pStyle w:val="ListBullet"/>
      </w:pPr>
      <w:r>
        <w:t>src/analysis.py — KPIs, dynamic insights and Plotly figure builders.</w:t>
      </w:r>
    </w:p>
    <w:p>
      <w:pPr>
        <w:pStyle w:val="ListBullet"/>
      </w:pPr>
      <w:r>
        <w:t>src/report_charts.py — matplotlib figures for this report.</w:t>
      </w:r>
    </w:p>
    <w:p>
      <w:pPr>
        <w:pStyle w:val="ListBullet"/>
      </w:pPr>
      <w:r>
        <w:t>src/ui.py — shared Streamlit helpers and cached data access.</w:t>
      </w:r>
    </w:p>
    <w:p>
      <w:pPr>
        <w:pStyle w:val="ListBullet"/>
      </w:pPr>
      <w:r>
        <w:t>pages/ — the four dashboard screens driven by app.py navigation.</w:t>
      </w:r>
    </w:p>
    <w:p>
      <w:pPr>
        <w:pStyle w:val="ListBullet"/>
      </w:pPr>
      <w:r>
        <w:t>tests/ — pipeline assertions and a headless AppTest smoke test.</w:t>
      </w:r>
    </w:p>
    <w:p>
      <w:pPr>
        <w:pStyle w:val="Heading1"/>
      </w:pPr>
      <w:r>
        <w:rPr>
          <w:color w:val="1F5C99"/>
        </w:rPr>
        <w:t>12. Limitations</w:t>
      </w:r>
    </w:p>
    <w:p>
      <w:pPr>
        <w:pStyle w:val="ListBullet"/>
      </w:pPr>
      <w:r>
        <w:t>A single snapshot of DEFRA 2026 fuel-combustion factors; no historical trend within the file.</w:t>
      </w:r>
    </w:p>
    <w:p>
      <w:pPr>
        <w:pStyle w:val="ListBullet"/>
      </w:pPr>
      <w:r>
        <w:t>Factors are not cross-comparable across units; the tool enforces this but cannot convert fuels.</w:t>
      </w:r>
    </w:p>
    <w:p>
      <w:pPr>
        <w:pStyle w:val="ListBullet"/>
      </w:pPr>
      <w:r>
        <w:t>The table of contents and page-number fields update when the document is opened in Word.</w:t>
      </w:r>
    </w:p>
    <w:p>
      <w:pPr>
        <w:pStyle w:val="Heading1"/>
      </w:pPr>
      <w:r>
        <w:rPr>
          <w:color w:val="1F5C99"/>
        </w:rPr>
        <w:t>13. Future Improvements</w:t>
      </w:r>
    </w:p>
    <w:p>
      <w:pPr>
        <w:pStyle w:val="ListBullet"/>
      </w:pPr>
      <w:r>
        <w:t>Multi-year factor comparison and change detection.</w:t>
      </w:r>
    </w:p>
    <w:p>
      <w:pPr>
        <w:pStyle w:val="ListBullet"/>
      </w:pPr>
      <w:r>
        <w:t>Unit-conversion and fuel-mix modelling, plus Scope 2 and Scope 3 support.</w:t>
      </w:r>
    </w:p>
    <w:p>
      <w:pPr>
        <w:pStyle w:val="ListBullet"/>
      </w:pPr>
      <w:r>
        <w:t>Business-intensity metrics and peer benchmarking.</w:t>
      </w:r>
    </w:p>
    <w:p>
      <w:pPr>
        <w:pStyle w:val="Heading1"/>
      </w:pPr>
      <w:r>
        <w:rPr>
          <w:color w:val="1F5C99"/>
        </w:rPr>
        <w:t>14. Conclusion</w:t>
      </w:r>
    </w:p>
    <w:p>
      <w:r>
        <w:rPr>
          <w:b w:val="0"/>
          <w:i w:val="0"/>
        </w:rPr>
        <w:t>This project demonstrates a complete, reproducible analyst workflow — from a raw government export through rigorous cleaning, unit-aware exploration and validated calculation, to an interactive dashboard and an automated report. It shows that a small, well-structured dataset can power trustworthy tools when data integrity, unit semantics and transparency are treated as first-class requirements.</w:t>
      </w:r>
    </w:p>
    <w:p>
      <w:pPr>
        <w:pStyle w:val="Heading1"/>
      </w:pPr>
      <w:r>
        <w:rPr>
          <w:color w:val="1F5C99"/>
        </w:rPr>
        <w:t>15. Data Source / References</w:t>
      </w:r>
    </w:p>
    <w:p>
      <w:r>
        <w:rPr>
          <w:b w:val="0"/>
          <w:i w:val="0"/>
        </w:rPr>
        <w:t>UK government, Greenhouse Gas Reporting: Conversion Factors 2026, Department for Environment, Food &amp; Rural Affairs (DEFRA) and the Department for Energy Security &amp; Net Zero (formerly BEIS). Emission factors are Crown data; verify against the official publication before formal reporting.</w:t>
      </w:r>
    </w:p>
    <w:sectPr w:rsidR="00FC693F" w:rsidRPr="0006063C" w:rsidSect="00034616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