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40"/>
          <w:sz w:val="72"/>
          <w:szCs w:val="72"/>
        </w:rPr>
        <w:t xml:space="preserve">FINSIGHT</w:t>
      </w:r>
    </w:p>
    <w:p>
      <w:pPr>
        <w:spacing w:after="100" w:before="200"/>
        <w:jc w:val="center"/>
      </w:pPr>
      <w:r>
        <w:rPr>
          <w:i/>
          <w:iCs/>
          <w:color w:val="0F6E5E"/>
          <w:sz w:val="30"/>
          <w:szCs w:val="30"/>
        </w:rPr>
        <w:t xml:space="preserve">From Anomaly to Evidence</w:t>
      </w:r>
    </w:p>
    <w:p>
      <w:pPr>
        <w:pBdr>
          <w:top w:val="single" w:color="BFBFBF" w:sz="6" w:space="8"/>
        </w:pBdr>
        <w:spacing w:after="100" w:before="100"/>
        <w:jc w:val="center"/>
      </w:pPr>
    </w:p>
    <w:p>
      <w:pPr>
        <w:spacing w:before="300"/>
        <w:jc w:val="center"/>
      </w:pPr>
      <w:r>
        <w:rPr>
          <w:color w:val="595959"/>
          <w:sz w:val="24"/>
          <w:szCs w:val="24"/>
        </w:rPr>
        <w:t xml:space="preserve">An AI-Assisted Financial Anomaly Investigation Platform</w:t>
      </w:r>
    </w:p>
    <w:p>
      <w:pPr>
        <w:spacing w:before="900"/>
        <w:jc w:val="center"/>
      </w:pPr>
      <w:r>
        <w:rPr>
          <w:color w:val="595959"/>
          <w:sz w:val="22"/>
          <w:szCs w:val="22"/>
        </w:rPr>
        <w:t xml:space="preserve">Project Documentation</w:t>
      </w:r>
    </w:p>
    <w:p>
      <w:r>
        <w:br w:type="page"/>
      </w:r>
    </w:p>
    <w:p>
      <w:pPr>
        <w:pStyle w:val="Heading1"/>
        <w:pBdr>
          <w:bottom w:val="single" w:color="1F3864" w:sz="12" w:space="4"/>
        </w:pBdr>
        <w:spacing w:after="200" w:before="400"/>
      </w:pPr>
      <w:r>
        <w:rPr>
          <w:b/>
          <w:bCs/>
          <w:color w:val="1F3864"/>
          <w:sz w:val="30"/>
          <w:szCs w:val="30"/>
        </w:rPr>
        <w:t xml:space="preserve">Table of Contents</w:t>
      </w:r>
    </w:p>
    <w:p>
      <w:pPr>
        <w:tabs>
          <w:tab w:val="right" w:pos="9350" w:leader="dot"/>
        </w:tabs>
        <w:spacing w:after="160"/>
      </w:pPr>
      <w:r>
        <w:rPr>
          <w:color w:val="262626"/>
          <w:sz w:val="22"/>
          <w:szCs w:val="22"/>
        </w:rPr>
        <w:t xml:space="preserve">1. Existing Approaches to Financial Anomaly Detection, and Why They Fall Short</w:t>
      </w:r>
      <w:r>
        <w:rPr>
          <w:color w:val="262626"/>
          <w:sz w:val="22"/>
          <w:szCs w:val="22"/>
        </w:rPr>
        <w:t xml:space="preserve">	3</w:t>
      </w:r>
    </w:p>
    <w:p>
      <w:pPr>
        <w:tabs>
          <w:tab w:val="right" w:pos="9350" w:leader="dot"/>
        </w:tabs>
        <w:spacing w:after="160"/>
      </w:pPr>
      <w:r>
        <w:rPr>
          <w:color w:val="262626"/>
          <w:sz w:val="22"/>
          <w:szCs w:val="22"/>
        </w:rPr>
        <w:t xml:space="preserve">2. Executive Summary</w:t>
      </w:r>
      <w:r>
        <w:rPr>
          <w:color w:val="262626"/>
          <w:sz w:val="22"/>
          <w:szCs w:val="22"/>
        </w:rPr>
        <w:t xml:space="preserve">	7</w:t>
      </w:r>
    </w:p>
    <w:p>
      <w:pPr>
        <w:tabs>
          <w:tab w:val="right" w:pos="9350" w:leader="dot"/>
        </w:tabs>
        <w:spacing w:after="160"/>
      </w:pPr>
      <w:r>
        <w:rPr>
          <w:color w:val="262626"/>
          <w:sz w:val="22"/>
          <w:szCs w:val="22"/>
        </w:rPr>
        <w:t xml:space="preserve">3. Introduction</w:t>
      </w:r>
      <w:r>
        <w:rPr>
          <w:color w:val="262626"/>
          <w:sz w:val="22"/>
          <w:szCs w:val="22"/>
        </w:rPr>
        <w:t xml:space="preserve">	8</w:t>
      </w:r>
    </w:p>
    <w:p>
      <w:pPr>
        <w:tabs>
          <w:tab w:val="right" w:pos="9350" w:leader="dot"/>
        </w:tabs>
        <w:spacing w:after="160"/>
      </w:pPr>
      <w:r>
        <w:rPr>
          <w:color w:val="262626"/>
          <w:sz w:val="22"/>
          <w:szCs w:val="22"/>
        </w:rPr>
        <w:t xml:space="preserve">4. System Architecture &amp; Design Philosophy</w:t>
      </w:r>
      <w:r>
        <w:rPr>
          <w:color w:val="262626"/>
          <w:sz w:val="22"/>
          <w:szCs w:val="22"/>
        </w:rPr>
        <w:t xml:space="preserve">	9</w:t>
      </w:r>
    </w:p>
    <w:p>
      <w:pPr>
        <w:tabs>
          <w:tab w:val="right" w:pos="9350" w:leader="dot"/>
        </w:tabs>
        <w:spacing w:after="160"/>
      </w:pPr>
      <w:r>
        <w:rPr>
          <w:color w:val="262626"/>
          <w:sz w:val="22"/>
          <w:szCs w:val="22"/>
        </w:rPr>
        <w:t xml:space="preserve">5. Dataset</w:t>
      </w:r>
      <w:r>
        <w:rPr>
          <w:color w:val="262626"/>
          <w:sz w:val="22"/>
          <w:szCs w:val="22"/>
        </w:rPr>
        <w:t xml:space="preserve">	10</w:t>
      </w:r>
    </w:p>
    <w:p>
      <w:pPr>
        <w:tabs>
          <w:tab w:val="right" w:pos="9350" w:leader="dot"/>
        </w:tabs>
        <w:spacing w:after="160"/>
      </w:pPr>
      <w:r>
        <w:rPr>
          <w:color w:val="262626"/>
          <w:sz w:val="22"/>
          <w:szCs w:val="22"/>
        </w:rPr>
        <w:t xml:space="preserve">6. Anomaly Detection Engine</w:t>
      </w:r>
      <w:r>
        <w:rPr>
          <w:color w:val="262626"/>
          <w:sz w:val="22"/>
          <w:szCs w:val="22"/>
        </w:rPr>
        <w:t xml:space="preserve">	11</w:t>
      </w:r>
    </w:p>
    <w:p>
      <w:pPr>
        <w:tabs>
          <w:tab w:val="right" w:pos="9350" w:leader="dot"/>
        </w:tabs>
        <w:spacing w:after="160"/>
      </w:pPr>
      <w:r>
        <w:rPr>
          <w:color w:val="262626"/>
          <w:sz w:val="22"/>
          <w:szCs w:val="22"/>
        </w:rPr>
        <w:t xml:space="preserve">7. Risk Classification</w:t>
      </w:r>
      <w:r>
        <w:rPr>
          <w:color w:val="262626"/>
          <w:sz w:val="22"/>
          <w:szCs w:val="22"/>
        </w:rPr>
        <w:t xml:space="preserve">	12</w:t>
      </w:r>
    </w:p>
    <w:p>
      <w:pPr>
        <w:tabs>
          <w:tab w:val="right" w:pos="9350" w:leader="dot"/>
        </w:tabs>
        <w:spacing w:after="160"/>
      </w:pPr>
      <w:r>
        <w:rPr>
          <w:color w:val="262626"/>
          <w:sz w:val="22"/>
          <w:szCs w:val="22"/>
        </w:rPr>
        <w:t xml:space="preserve">8. Investigation Engine</w:t>
      </w:r>
      <w:r>
        <w:rPr>
          <w:color w:val="262626"/>
          <w:sz w:val="22"/>
          <w:szCs w:val="22"/>
        </w:rPr>
        <w:t xml:space="preserve">	13</w:t>
      </w:r>
    </w:p>
    <w:p>
      <w:pPr>
        <w:tabs>
          <w:tab w:val="right" w:pos="9350" w:leader="dot"/>
        </w:tabs>
        <w:spacing w:after="160"/>
      </w:pPr>
      <w:r>
        <w:rPr>
          <w:color w:val="262626"/>
          <w:sz w:val="22"/>
          <w:szCs w:val="22"/>
        </w:rPr>
        <w:t xml:space="preserve">9. AI Reasoning Layer</w:t>
      </w:r>
      <w:r>
        <w:rPr>
          <w:color w:val="262626"/>
          <w:sz w:val="22"/>
          <w:szCs w:val="22"/>
        </w:rPr>
        <w:t xml:space="preserve">	14</w:t>
      </w:r>
    </w:p>
    <w:p>
      <w:pPr>
        <w:tabs>
          <w:tab w:val="right" w:pos="9350" w:leader="dot"/>
        </w:tabs>
        <w:spacing w:after="160"/>
      </w:pPr>
      <w:r>
        <w:rPr>
          <w:color w:val="262626"/>
          <w:sz w:val="22"/>
          <w:szCs w:val="22"/>
        </w:rPr>
        <w:t xml:space="preserve">10. Cash Flow Forecasting</w:t>
      </w:r>
      <w:r>
        <w:rPr>
          <w:color w:val="262626"/>
          <w:sz w:val="22"/>
          <w:szCs w:val="22"/>
        </w:rPr>
        <w:t xml:space="preserve">	15</w:t>
      </w:r>
    </w:p>
    <w:p>
      <w:pPr>
        <w:tabs>
          <w:tab w:val="right" w:pos="9350" w:leader="dot"/>
        </w:tabs>
        <w:spacing w:after="160"/>
      </w:pPr>
      <w:r>
        <w:rPr>
          <w:color w:val="262626"/>
          <w:sz w:val="22"/>
          <w:szCs w:val="22"/>
        </w:rPr>
        <w:t xml:space="preserve">11. Financial Intelligence Dashboard</w:t>
      </w:r>
      <w:r>
        <w:rPr>
          <w:color w:val="262626"/>
          <w:sz w:val="22"/>
          <w:szCs w:val="22"/>
        </w:rPr>
        <w:t xml:space="preserve">	16</w:t>
      </w:r>
    </w:p>
    <w:p>
      <w:pPr>
        <w:tabs>
          <w:tab w:val="right" w:pos="9350" w:leader="dot"/>
        </w:tabs>
        <w:spacing w:after="160"/>
      </w:pPr>
      <w:r>
        <w:rPr>
          <w:color w:val="262626"/>
          <w:sz w:val="22"/>
          <w:szCs w:val="22"/>
        </w:rPr>
        <w:t xml:space="preserve">12. Technology Stack</w:t>
      </w:r>
      <w:r>
        <w:rPr>
          <w:color w:val="262626"/>
          <w:sz w:val="22"/>
          <w:szCs w:val="22"/>
        </w:rPr>
        <w:t xml:space="preserve">	17</w:t>
      </w:r>
    </w:p>
    <w:p>
      <w:pPr>
        <w:tabs>
          <w:tab w:val="right" w:pos="9350" w:leader="dot"/>
        </w:tabs>
        <w:spacing w:after="160"/>
      </w:pPr>
      <w:r>
        <w:rPr>
          <w:color w:val="262626"/>
          <w:sz w:val="22"/>
          <w:szCs w:val="22"/>
        </w:rPr>
        <w:t xml:space="preserve">13. Results</w:t>
      </w:r>
      <w:r>
        <w:rPr>
          <w:color w:val="262626"/>
          <w:sz w:val="22"/>
          <w:szCs w:val="22"/>
        </w:rPr>
        <w:t xml:space="preserve">	18</w:t>
      </w:r>
    </w:p>
    <w:p>
      <w:pPr>
        <w:tabs>
          <w:tab w:val="right" w:pos="9350" w:leader="dot"/>
        </w:tabs>
        <w:spacing w:after="160"/>
      </w:pPr>
      <w:r>
        <w:rPr>
          <w:color w:val="262626"/>
          <w:sz w:val="22"/>
          <w:szCs w:val="22"/>
        </w:rPr>
        <w:t xml:space="preserve">14. Case Study — INV003 (High Risk)</w:t>
      </w:r>
      <w:r>
        <w:rPr>
          <w:color w:val="262626"/>
          <w:sz w:val="22"/>
          <w:szCs w:val="22"/>
        </w:rPr>
        <w:t xml:space="preserve">	19</w:t>
      </w:r>
    </w:p>
    <w:p>
      <w:pPr>
        <w:tabs>
          <w:tab w:val="right" w:pos="9350" w:leader="dot"/>
        </w:tabs>
        <w:spacing w:after="160"/>
      </w:pPr>
      <w:r>
        <w:rPr>
          <w:color w:val="262626"/>
          <w:sz w:val="22"/>
          <w:szCs w:val="22"/>
        </w:rPr>
        <w:t xml:space="preserve">15. Other Detected Cases</w:t>
      </w:r>
      <w:r>
        <w:rPr>
          <w:color w:val="262626"/>
          <w:sz w:val="22"/>
          <w:szCs w:val="22"/>
        </w:rPr>
        <w:t xml:space="preserve">	21</w:t>
      </w:r>
    </w:p>
    <w:p>
      <w:pPr>
        <w:tabs>
          <w:tab w:val="right" w:pos="9350" w:leader="dot"/>
        </w:tabs>
        <w:spacing w:after="160"/>
      </w:pPr>
      <w:r>
        <w:rPr>
          <w:color w:val="262626"/>
          <w:sz w:val="22"/>
          <w:szCs w:val="22"/>
        </w:rPr>
        <w:t xml:space="preserve">16. What Makes FinSight Different</w:t>
      </w:r>
      <w:r>
        <w:rPr>
          <w:color w:val="262626"/>
          <w:sz w:val="22"/>
          <w:szCs w:val="22"/>
        </w:rPr>
        <w:t xml:space="preserve">	22</w:t>
      </w:r>
    </w:p>
    <w:p>
      <w:pPr>
        <w:tabs>
          <w:tab w:val="right" w:pos="9350" w:leader="dot"/>
        </w:tabs>
        <w:spacing w:after="160"/>
      </w:pPr>
      <w:r>
        <w:rPr>
          <w:color w:val="262626"/>
          <w:sz w:val="22"/>
          <w:szCs w:val="22"/>
        </w:rPr>
        <w:t xml:space="preserve">17. Impact &amp; Feasibility</w:t>
      </w:r>
      <w:r>
        <w:rPr>
          <w:color w:val="262626"/>
          <w:sz w:val="22"/>
          <w:szCs w:val="22"/>
        </w:rPr>
        <w:t xml:space="preserve">	23</w:t>
      </w:r>
    </w:p>
    <w:p>
      <w:pPr>
        <w:tabs>
          <w:tab w:val="right" w:pos="9350" w:leader="dot"/>
        </w:tabs>
        <w:spacing w:after="160"/>
      </w:pPr>
      <w:r>
        <w:rPr>
          <w:color w:val="262626"/>
          <w:sz w:val="22"/>
          <w:szCs w:val="22"/>
        </w:rPr>
        <w:t xml:space="preserve">18. Limitations</w:t>
      </w:r>
      <w:r>
        <w:rPr>
          <w:color w:val="262626"/>
          <w:sz w:val="22"/>
          <w:szCs w:val="22"/>
        </w:rPr>
        <w:t xml:space="preserve">	24</w:t>
      </w:r>
    </w:p>
    <w:p>
      <w:pPr>
        <w:tabs>
          <w:tab w:val="right" w:pos="9350" w:leader="dot"/>
        </w:tabs>
        <w:spacing w:after="160"/>
      </w:pPr>
      <w:r>
        <w:rPr>
          <w:color w:val="262626"/>
          <w:sz w:val="22"/>
          <w:szCs w:val="22"/>
        </w:rPr>
        <w:t xml:space="preserve">19. Future Scope</w:t>
      </w:r>
      <w:r>
        <w:rPr>
          <w:color w:val="262626"/>
          <w:sz w:val="22"/>
          <w:szCs w:val="22"/>
        </w:rPr>
        <w:t xml:space="preserve">	25</w:t>
      </w:r>
    </w:p>
    <w:p>
      <w:pPr>
        <w:tabs>
          <w:tab w:val="right" w:pos="9350" w:leader="dot"/>
        </w:tabs>
        <w:spacing w:after="160"/>
      </w:pPr>
      <w:r>
        <w:rPr>
          <w:color w:val="262626"/>
          <w:sz w:val="22"/>
          <w:szCs w:val="22"/>
        </w:rPr>
        <w:t xml:space="preserve">20. Conclusion</w:t>
      </w:r>
      <w:r>
        <w:rPr>
          <w:color w:val="262626"/>
          <w:sz w:val="22"/>
          <w:szCs w:val="22"/>
        </w:rPr>
        <w:t xml:space="preserve">	26</w:t>
      </w:r>
    </w:p>
    <w:p>
      <w:r>
        <w:br w:type="page"/>
      </w:r>
    </w:p>
    <w:p>
      <w:pPr>
        <w:pStyle w:val="Heading1"/>
        <w:pBdr>
          <w:bottom w:val="single" w:color="1F3864" w:sz="12" w:space="4"/>
        </w:pBdr>
        <w:spacing w:after="200" w:before="400"/>
      </w:pPr>
      <w:r>
        <w:rPr>
          <w:b/>
          <w:bCs/>
          <w:color w:val="1F3864"/>
          <w:sz w:val="30"/>
          <w:szCs w:val="30"/>
        </w:rPr>
        <w:t xml:space="preserve">1. Existing Approaches to Financial Anomaly Detection, and Why They Fall Short</w:t>
      </w:r>
    </w:p>
    <w:p>
      <w:pPr>
        <w:spacing w:after="160" w:line="300"/>
        <w:jc w:val="both"/>
      </w:pPr>
      <w:r>
        <w:rPr>
          <w:color w:val="262626"/>
          <w:sz w:val="22"/>
          <w:szCs w:val="22"/>
        </w:rPr>
        <w:t xml:space="preserve">Before describing FinSight's own design, it is worth examining how financial anomaly and fraud detection is typically approached today, and where each of the dominant approaches tends to break down in practice. This is not an abstract literature exercise: this review directly shaped several of FinSight's core design decisions, particularly the decision to separate detection from explanation rather than relying on any single opaque score, and the decision to keep the detection layer deterministic rather than reaching for a trained model at this stage of the project.</w:t>
      </w:r>
    </w:p>
    <w:p>
      <w:pPr>
        <w:spacing w:after="160" w:line="300"/>
        <w:jc w:val="both"/>
      </w:pPr>
      <w:r>
        <w:rPr>
          <w:color w:val="262626"/>
          <w:sz w:val="22"/>
          <w:szCs w:val="22"/>
        </w:rPr>
        <w:t xml:space="preserve">Three broad families of approach dominate current practice: static rule-based systems, trained machine-learning classifiers, and unsupervised statistical outlier detection. Each is examined below, followed by the failure pattern common to all three, and finally how FinSight's own architecture responds to it.</w:t>
      </w:r>
    </w:p>
    <w:p>
      <w:pPr>
        <w:pStyle w:val="Heading2"/>
        <w:spacing w:after="140" w:before="300"/>
      </w:pPr>
      <w:r>
        <w:rPr>
          <w:b/>
          <w:bCs/>
          <w:color w:val="0F6E5E"/>
          <w:sz w:val="24"/>
          <w:szCs w:val="24"/>
        </w:rPr>
        <w:t xml:space="preserve">1.1 Static, Rule-Based Detection Systems</w:t>
      </w:r>
    </w:p>
    <w:p>
      <w:pPr>
        <w:spacing w:after="160" w:line="300"/>
        <w:jc w:val="both"/>
      </w:pPr>
      <w:r>
        <w:rPr>
          <w:color w:val="262626"/>
          <w:sz w:val="22"/>
          <w:szCs w:val="22"/>
        </w:rPr>
        <w:t xml:space="preserve">The oldest and still most widely deployed approach to financial anomaly detection is the rule-based system: a fixed set of thresholds and conditions — for example, flagging any transaction above a set amount, from an unfamiliar vendor, or outside normal business hours. These systems are simple to build, fast to run, cheap to operate at scale, and easy for a human to reason about at the level of a single rule. This is precisely why they remain in wide use across accounts-payable and banking fraud teams today, despite decades of more sophisticated alternatives being available.</w:t>
      </w:r>
    </w:p>
    <w:p>
      <w:pPr>
        <w:spacing w:after="160" w:line="300"/>
        <w:jc w:val="both"/>
      </w:pPr>
      <w:r>
        <w:rPr>
          <w:color w:val="262626"/>
          <w:sz w:val="22"/>
          <w:szCs w:val="22"/>
        </w:rPr>
        <w:t xml:space="preserve">In practice, however, they suffer from three recurring failure patterns documented across both industry and academic literature:</w:t>
      </w:r>
    </w:p>
    <w:p>
      <w:pPr>
        <w:pStyle w:val="ListParagraph"/>
        <w:numPr>
          <w:ilvl w:val="0"/>
          <w:numId w:val="2"/>
        </w:numPr>
        <w:spacing w:after="90"/>
      </w:pPr>
      <w:r>
        <w:rPr>
          <w:color w:val="262626"/>
          <w:sz w:val="22"/>
          <w:szCs w:val="22"/>
        </w:rPr>
        <w:t xml:space="preserve">Rigid thresholds that go stale. Because rules are fixed, they cannot adapt as spending patterns, vendor relationships, or fraud tactics evolve, and require constant manual revision to stay effective. Each new fraud pattern typically requires a human to notice it, design a new rule, and deploy it — by which point the pattern may already have been exploited repeatedly.</w:t>
      </w:r>
    </w:p>
    <w:p>
      <w:pPr>
        <w:pStyle w:val="ListParagraph"/>
        <w:numPr>
          <w:ilvl w:val="0"/>
          <w:numId w:val="2"/>
        </w:numPr>
        <w:spacing w:after="90"/>
      </w:pPr>
      <w:r>
        <w:rPr>
          <w:color w:val="262626"/>
          <w:sz w:val="22"/>
          <w:szCs w:val="22"/>
        </w:rPr>
        <w:t xml:space="preserve">High false-positive volume. Rules tend to be applied in isolation from broader context — evaluating a single transaction without reference to a customer's or vendor's wider behavioural pattern — so legitimate but unusual transactions are frequently flagged alongside genuinely suspicious ones. This creates alert fatigue for reviewers and, in customer-facing settings, frustrates legitimate users whose transactions are delayed or declined.</w:t>
      </w:r>
    </w:p>
    <w:p>
      <w:pPr>
        <w:pStyle w:val="ListParagraph"/>
        <w:numPr>
          <w:ilvl w:val="0"/>
          <w:numId w:val="2"/>
        </w:numPr>
        <w:spacing w:after="90"/>
      </w:pPr>
      <w:r>
        <w:rPr>
          <w:color w:val="262626"/>
          <w:sz w:val="22"/>
          <w:szCs w:val="22"/>
        </w:rPr>
        <w:t xml:space="preserve">No sense of “why,” beyond the single trigger. A rule-based system typically reports that a threshold was crossed, not how that one trigger relates to the vendor's history, the linked purchase order, or the approval process around it. Two invoices that cross the same threshold for very different underlying reasons are reported identically.</w:t>
      </w:r>
    </w:p>
    <w:p>
      <w:pPr>
        <w:pStyle w:val="ListParagraph"/>
        <w:numPr>
          <w:ilvl w:val="0"/>
          <w:numId w:val="2"/>
        </w:numPr>
        <w:spacing w:after="90"/>
      </w:pPr>
      <w:r>
        <w:rPr>
          <w:color w:val="262626"/>
          <w:sz w:val="22"/>
          <w:szCs w:val="22"/>
        </w:rPr>
        <w:t xml:space="preserve">Cumbersome maintenance at scale. Different business units — procurement, payroll, expense reimbursement — often need materially different rule sets, and keeping all of them current becomes an ongoing operational burden rather than a one-time setup cost.</w:t>
      </w:r>
    </w:p>
    <w:p>
      <w:pPr>
        <w:spacing w:after="160" w:line="300"/>
        <w:jc w:val="both"/>
      </w:pPr>
      <w:r>
        <w:rPr>
          <w:color w:val="262626"/>
          <w:sz w:val="22"/>
          <w:szCs w:val="22"/>
        </w:rPr>
        <w:t xml:space="preserve">The net effect is a system that is transparent about </w:t>
      </w:r>
      <w:r>
        <w:rPr>
          <w:i/>
          <w:iCs/>
          <w:color w:val="595959"/>
          <w:sz w:val="22"/>
          <w:szCs w:val="22"/>
        </w:rPr>
        <w:t xml:space="preserve">what</w:t>
      </w:r>
      <w:r>
        <w:rPr>
          <w:color w:val="262626"/>
          <w:sz w:val="22"/>
          <w:szCs w:val="22"/>
        </w:rPr>
        <w:t xml:space="preserve"> it checked, but not about how seriously a reviewer should take any individual alert, or how several weak signals on the same transaction might combine into a genuinely strong case. A single crossed threshold and a transaction crossing five thresholds at once are, to most rule engines, reported in the same flat way: “flagged.”</w:t>
      </w:r>
    </w:p>
    <w:p>
      <w:pPr>
        <w:pStyle w:val="Heading2"/>
        <w:spacing w:after="140" w:before="300"/>
      </w:pPr>
      <w:r>
        <w:rPr>
          <w:b/>
          <w:bCs/>
          <w:color w:val="0F6E5E"/>
          <w:sz w:val="24"/>
          <w:szCs w:val="24"/>
        </w:rPr>
        <w:t xml:space="preserve">1.2 Machine-Learning “Black-Box” Scoring Models</w:t>
      </w:r>
    </w:p>
    <w:p>
      <w:pPr>
        <w:spacing w:after="160" w:line="300"/>
        <w:jc w:val="both"/>
      </w:pPr>
      <w:r>
        <w:rPr>
          <w:color w:val="262626"/>
          <w:sz w:val="22"/>
          <w:szCs w:val="22"/>
        </w:rPr>
        <w:t xml:space="preserve">The next generation of systems replaced hand-written rules with trained models — gradient-boosted trees, neural networks, ensemble classifiers, or graph-based methods — that output a single fraud probability or risk score. These models can capture far more complex, non-linear relationships than manual rules, and in principle adapt better as more labelled data becomes available. Where sufficient clean historical fraud labels exist, they can meaningfully outperform static rules on raw detection accuracy.</w:t>
      </w:r>
    </w:p>
    <w:p>
      <w:pPr>
        <w:spacing w:after="160" w:line="300"/>
        <w:jc w:val="both"/>
      </w:pPr>
      <w:r>
        <w:rPr>
          <w:color w:val="262626"/>
          <w:sz w:val="22"/>
          <w:szCs w:val="22"/>
        </w:rPr>
        <w:t xml:space="preserve">The trade-off is explainability. A substantial and growing body of published research on explainable AI (XAI) in finance identifies this as the central obstacle to real-world adoption: a model that outputs “risk score 0.87” gives an analyst nothing concrete to act on, and gives an auditor or regulator nothing to independently verify. Financial institutions have increasingly turned to post-hoc explanation techniques such as SHAP and LIME specifically to compensate for this gap — and the widespread need for a second layer of tooling just to explain the first model is itself evidence that these models do not explain themselves. Other documented limitations include:</w:t>
      </w:r>
    </w:p>
    <w:p>
      <w:pPr>
        <w:pStyle w:val="ListParagraph"/>
        <w:numPr>
          <w:ilvl w:val="0"/>
          <w:numId w:val="2"/>
        </w:numPr>
        <w:spacing w:after="90"/>
      </w:pPr>
      <w:r>
        <w:rPr>
          <w:color w:val="262626"/>
          <w:sz w:val="22"/>
          <w:szCs w:val="22"/>
        </w:rPr>
        <w:t xml:space="preserve">Explanations generated after the fact (via SHAP/LIME) add computational overhead and can be unstable — the same transaction can receive different “reasons” depending on the reference data or background sample used, undermining confidence in the explanation itself.</w:t>
      </w:r>
    </w:p>
    <w:p>
      <w:pPr>
        <w:pStyle w:val="ListParagraph"/>
        <w:numPr>
          <w:ilvl w:val="0"/>
          <w:numId w:val="2"/>
        </w:numPr>
        <w:spacing w:after="90"/>
      </w:pPr>
      <w:r>
        <w:rPr>
          <w:color w:val="262626"/>
          <w:sz w:val="22"/>
          <w:szCs w:val="22"/>
        </w:rPr>
        <w:t xml:space="preserve">Severe class imbalance. Genuine fraud is rare relative to legitimate activity, which makes these models difficult to train reliably and prone to overfitting on a handful of historical cases rather than learning generalizable patterns.</w:t>
      </w:r>
    </w:p>
    <w:p>
      <w:pPr>
        <w:pStyle w:val="ListParagraph"/>
        <w:numPr>
          <w:ilvl w:val="0"/>
          <w:numId w:val="2"/>
        </w:numPr>
        <w:spacing w:after="90"/>
      </w:pPr>
      <w:r>
        <w:rPr>
          <w:color w:val="262626"/>
          <w:sz w:val="22"/>
          <w:szCs w:val="22"/>
        </w:rPr>
        <w:t xml:space="preserve">Concept drift and evolving tactics. As fraud tactics change, a model trained on historical data can silently degrade, and — unlike a rule an analyst can read — that degradation is not always obvious from the model's output alone.</w:t>
      </w:r>
    </w:p>
    <w:p>
      <w:pPr>
        <w:pStyle w:val="ListParagraph"/>
        <w:numPr>
          <w:ilvl w:val="0"/>
          <w:numId w:val="2"/>
        </w:numPr>
        <w:spacing w:after="90"/>
      </w:pPr>
      <w:r>
        <w:rPr>
          <w:color w:val="262626"/>
          <w:sz w:val="22"/>
          <w:szCs w:val="22"/>
        </w:rPr>
        <w:t xml:space="preserve">Regulatory and audit resistance. Audit and compliance teams are explicitly cautious about acting on a decision they cannot trace back to concrete evidence, which slows real-world adoption even where a model's raw accuracy is genuinely high; some industry surveys report adoption of AI-based fraud detection still well under half of eligible businesses for exactly this reason.</w:t>
      </w:r>
    </w:p>
    <w:p>
      <w:pPr>
        <w:spacing w:after="160" w:line="300"/>
        <w:jc w:val="both"/>
      </w:pPr>
      <w:r>
        <w:rPr>
          <w:color w:val="262626"/>
          <w:sz w:val="22"/>
          <w:szCs w:val="22"/>
        </w:rPr>
        <w:t xml:space="preserve">In short: black-box models often detect more, but explain less — and in a financial-investigation setting, the explanation is frequently the deliverable an analyst actually needs, not the score.</w:t>
      </w:r>
    </w:p>
    <w:p>
      <w:pPr>
        <w:pStyle w:val="Heading2"/>
        <w:spacing w:after="140" w:before="300"/>
      </w:pPr>
      <w:r>
        <w:rPr>
          <w:b/>
          <w:bCs/>
          <w:color w:val="0F6E5E"/>
          <w:sz w:val="24"/>
          <w:szCs w:val="24"/>
        </w:rPr>
        <w:t xml:space="preserve">1.3 Unsupervised Statistical Anomaly Detection</w:t>
      </w:r>
    </w:p>
    <w:p>
      <w:pPr>
        <w:spacing w:after="160" w:line="300"/>
        <w:jc w:val="both"/>
      </w:pPr>
      <w:r>
        <w:rPr>
          <w:color w:val="262626"/>
          <w:sz w:val="22"/>
          <w:szCs w:val="22"/>
        </w:rPr>
        <w:t xml:space="preserve">A third family of approaches — Isolation Forest, One-Class SVM, Local Outlier Factor, and similar unsupervised methods — avoids the need for labelled fraud examples entirely by instead learning what “normal” looks like from the data itself, and flagging points that sit far from that norm. These are attractive precisely because confirmed fraud labels are almost always scarce in practice, and unsupervised methods sidestep that bottleneck.</w:t>
      </w:r>
    </w:p>
    <w:p>
      <w:pPr>
        <w:spacing w:after="160" w:line="300"/>
        <w:jc w:val="both"/>
      </w:pPr>
      <w:r>
        <w:rPr>
          <w:color w:val="262626"/>
          <w:sz w:val="22"/>
          <w:szCs w:val="22"/>
        </w:rPr>
        <w:t xml:space="preserve">Published evaluations of these methods converge on a similar set of limitations, several of which are directly relevant to a project working with a small demonstration dataset like FinSight's own:</w:t>
      </w:r>
    </w:p>
    <w:p>
      <w:pPr>
        <w:pStyle w:val="ListParagraph"/>
        <w:numPr>
          <w:ilvl w:val="0"/>
          <w:numId w:val="2"/>
        </w:numPr>
        <w:spacing w:after="90"/>
      </w:pPr>
      <w:r>
        <w:rPr>
          <w:color w:val="262626"/>
          <w:sz w:val="22"/>
          <w:szCs w:val="22"/>
        </w:rPr>
        <w:t xml:space="preserve">No inherent sense of “why.” An outlier score reflects how easily a point can be isolated or how far it sits from its neighbours — a purely geometric or statistical property — with no attached, human-meaningful reason. Recovering “why” typically requires a separate feature-importance analysis layered on top.</w:t>
      </w:r>
    </w:p>
    <w:p>
      <w:pPr>
        <w:pStyle w:val="ListParagraph"/>
        <w:numPr>
          <w:ilvl w:val="0"/>
          <w:numId w:val="2"/>
        </w:numPr>
        <w:spacing w:after="90"/>
      </w:pPr>
      <w:r>
        <w:rPr>
          <w:color w:val="262626"/>
          <w:sz w:val="22"/>
          <w:szCs w:val="22"/>
        </w:rPr>
        <w:t xml:space="preserve">Domain-dependent relevance. Anomalies are strongly context-specific: a pattern that is statistically rare may be completely harmless operationally, while a pattern that looks statistically ordinary may still be exactly the kind of case an analyst would want flagged. Unsupervised methods, by construction, cannot encode that domain judgment.</w:t>
      </w:r>
    </w:p>
    <w:p>
      <w:pPr>
        <w:pStyle w:val="ListParagraph"/>
        <w:numPr>
          <w:ilvl w:val="0"/>
          <w:numId w:val="2"/>
        </w:numPr>
        <w:spacing w:after="90"/>
      </w:pPr>
      <w:r>
        <w:rPr>
          <w:color w:val="262626"/>
          <w:sz w:val="22"/>
          <w:szCs w:val="22"/>
        </w:rPr>
        <w:t xml:space="preserve">Sensitivity to dataset size and parameters. Isolation Forest specifically requires an assumed contamination rate (roughly, what fraction of the data is expected to be anomalous) set in advance, and is documented to be less reliable on small datasets — exactly the kind of dataset a prototype or early-stage system is likely to have.</w:t>
      </w:r>
    </w:p>
    <w:p>
      <w:pPr>
        <w:pStyle w:val="ListParagraph"/>
        <w:numPr>
          <w:ilvl w:val="0"/>
          <w:numId w:val="2"/>
        </w:numPr>
        <w:spacing w:after="90"/>
      </w:pPr>
      <w:r>
        <w:rPr>
          <w:color w:val="262626"/>
          <w:sz w:val="22"/>
          <w:szCs w:val="22"/>
        </w:rPr>
        <w:t xml:space="preserve">Concept drift. Spending and billing patterns shift over time — seasonally, or due to one-off events — and unsupervised detectors can silently drift with them, quietly redefining what counts as “normal” without any visible signal that this has happened.</w:t>
      </w:r>
    </w:p>
    <w:p>
      <w:pPr>
        <w:pStyle w:val="Heading2"/>
        <w:spacing w:after="140" w:before="300"/>
      </w:pPr>
      <w:r>
        <w:rPr>
          <w:b/>
          <w:bCs/>
          <w:color w:val="0F6E5E"/>
          <w:sz w:val="24"/>
          <w:szCs w:val="24"/>
        </w:rPr>
        <w:t xml:space="preserve">1.4 Side-by-Side Comparison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350"/>
        <w:gridCol w:w="2400"/>
        <w:gridCol w:w="24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Criterion</w:t>
            </w:r>
          </w:p>
        </w:tc>
        <w:tc>
          <w:tcPr>
            <w:tcW w:type="dxa" w:w="23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Rule-Based</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ML Black-Box</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Unsupervised Statistical</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Explains “why” on its own</w:t>
            </w:r>
          </w:p>
        </w:tc>
        <w:tc>
          <w:tcPr>
            <w:tcW w:type="dxa" w:w="23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Partial — only the single rule</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Weak — needs SHAP/LIME</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Weak — score only</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Adapts to new patterns</w:t>
            </w:r>
          </w:p>
        </w:tc>
        <w:tc>
          <w:tcPr>
            <w:tcW w:type="dxa" w:w="23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Poor — manual updates</w:t>
            </w:r>
          </w:p>
        </w:tc>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Good, if data is fresh</w:t>
            </w:r>
          </w:p>
        </w:tc>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Moderate — drifts silently</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Works with little/no labelled data</w:t>
            </w:r>
          </w:p>
        </w:tc>
        <w:tc>
          <w:tcPr>
            <w:tcW w:type="dxa" w:w="23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Yes</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No — needs labels</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Yes</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Easy to audit a single decision</w:t>
            </w:r>
          </w:p>
        </w:tc>
        <w:tc>
          <w:tcPr>
            <w:tcW w:type="dxa" w:w="23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Yes</w:t>
            </w:r>
          </w:p>
        </w:tc>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Difficult</w:t>
            </w:r>
          </w:p>
        </w:tc>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Difficult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Reliable on small datasets</w:t>
            </w:r>
          </w:p>
        </w:tc>
        <w:tc>
          <w:tcPr>
            <w:tcW w:type="dxa" w:w="23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Yes</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Poor — overfits</w:t>
            </w:r>
          </w:p>
        </w:tc>
        <w:tc>
          <w:tcPr>
            <w:tcW w:type="dxa" w:w="24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Poor — needs volume</w:t>
            </w:r>
          </w:p>
        </w:tc>
      </w:tr>
    </w:tbl>
    <w:p>
      <w:pPr>
        <w:spacing w:after="120"/>
      </w:pPr>
    </w:p>
    <w:p>
      <w:pPr>
        <w:spacing w:after="160" w:line="300"/>
        <w:jc w:val="both"/>
      </w:pPr>
      <w:r>
        <w:rPr>
          <w:color w:val="262626"/>
          <w:sz w:val="22"/>
          <w:szCs w:val="22"/>
        </w:rPr>
        <w:t xml:space="preserve">No single approach in this comparison is strictly better than the others — each trades explainability against adaptability in a different way. What they share, however, is the subject of the next section.</w:t>
      </w:r>
    </w:p>
    <w:p>
      <w:pPr>
        <w:pStyle w:val="Heading2"/>
        <w:spacing w:after="140" w:before="300"/>
      </w:pPr>
      <w:r>
        <w:rPr>
          <w:b/>
          <w:bCs/>
          <w:color w:val="0F6E5E"/>
          <w:sz w:val="24"/>
          <w:szCs w:val="24"/>
        </w:rPr>
        <w:t xml:space="preserve">1.5 The Common Failure Across All Three Approaches</w:t>
      </w:r>
    </w:p>
    <w:tbl>
      <w:tblPr>
        <w:tblW w:type="dxa" w:w="9350"/>
        <w:tblBorders>
          <w:top w:val="single" w:color="9C2B2B" w:sz="4"/>
          <w:left w:val="single" w:color="9C2B2B" w:sz="24"/>
          <w:bottom w:val="single" w:color="9C2B2B" w:sz="4"/>
          <w:right w:val="single" w:color="9C2B2B" w:sz="4"/>
          <w:insideH w:val="single" w:color="auto" w:sz="4"/>
          <w:insideV w:val="single" w:color="auto" w:sz="4"/>
        </w:tblBorders>
      </w:tblPr>
      <w:tblGrid>
        <w:gridCol w:w="9350"/>
      </w:tblGrid>
      <w:tr>
        <w:tc>
          <w:tcPr>
            <w:tcW w:type="dxa" w:w="9350"/>
            <w:shd w:fill="F8E6E6" w:val="clear"/>
            <w:tcMar>
              <w:top w:type="dxa" w:w="140"/>
              <w:left w:type="dxa" w:w="200"/>
              <w:bottom w:type="dxa" w:w="140"/>
              <w:right w:type="dxa" w:w="200"/>
            </w:tcMar>
          </w:tcPr>
          <w:p>
            <w:pPr>
              <w:spacing w:after="60"/>
            </w:pPr>
            <w:r>
              <w:rPr>
                <w:b/>
                <w:bCs/>
                <w:color w:val="9C2B2B"/>
                <w:sz w:val="21"/>
                <w:szCs w:val="21"/>
              </w:rPr>
              <w:t xml:space="preserve">THE PATTERN</w:t>
            </w:r>
          </w:p>
          <w:p>
            <w:pPr>
              <w:spacing w:after="0"/>
            </w:pPr>
            <w:r>
              <w:rPr>
                <w:color w:val="262626"/>
                <w:sz w:val="21"/>
                <w:szCs w:val="21"/>
              </w:rPr>
              <w:t xml:space="preserve">Rule-based systems, ML classifiers, and unsupervised outlier detectors all optimize for the same narrow output: a flag or a score. None of the three, by design, produce an evidence trail — a connected account of which related records were checked, what was found in each, and how those individual findings combine into a level of concern a human can evaluate.</w:t>
            </w:r>
          </w:p>
        </w:tc>
      </w:tr>
    </w:tbl>
    <w:p>
      <w:pPr>
        <w:spacing w:after="120"/>
      </w:pPr>
    </w:p>
    <w:p>
      <w:pPr>
        <w:spacing w:after="160" w:line="300"/>
        <w:jc w:val="both"/>
      </w:pPr>
      <w:r>
        <w:rPr>
          <w:color w:val="262626"/>
          <w:sz w:val="22"/>
          <w:szCs w:val="22"/>
        </w:rPr>
        <w:t xml:space="preserve">This is precisely the gap financial teams describe when they say an anomaly alert is “hard to trust”: it is usually not that the underlying detection is wrong, but that it arrives with no supporting case file attached. An analyst is left to manually reconstruct the vendor history, the purchase order, and the approval trail themselves — which is exactly the investigation work the detection system was supposed to shortcut in the first place. The detection step and the investigation step end up decoupled, even though the second is what actually determines whether the first was worth raising.</w:t>
      </w:r>
    </w:p>
    <w:p>
      <w:pPr>
        <w:pStyle w:val="Heading2"/>
        <w:spacing w:after="140" w:before="300"/>
      </w:pPr>
      <w:r>
        <w:rPr>
          <w:b/>
          <w:bCs/>
          <w:color w:val="0F6E5E"/>
          <w:sz w:val="24"/>
          <w:szCs w:val="24"/>
        </w:rPr>
        <w:t xml:space="preserve">1.6 How FinSight Addresses These Failures</w:t>
      </w:r>
    </w:p>
    <w:p>
      <w:pPr>
        <w:spacing w:after="160" w:line="300"/>
        <w:jc w:val="both"/>
      </w:pPr>
      <w:r>
        <w:rPr>
          <w:color w:val="262626"/>
          <w:sz w:val="22"/>
          <w:szCs w:val="22"/>
        </w:rPr>
        <w:t xml:space="preserve">FinSight is built around a direct response to the pattern above. Rather than trying to build a single model that both detects and explains — which the research above suggests is a difficult trade-off to win, whichever of the three families is chosen — FinSight deliberately separates the two jobs into distinct, inspectable layers:</w:t>
      </w:r>
    </w:p>
    <w:p>
      <w:pPr>
        <w:pStyle w:val="ListParagraph"/>
        <w:numPr>
          <w:ilvl w:val="0"/>
          <w:numId w:val="2"/>
        </w:numPr>
        <w:spacing w:after="90"/>
      </w:pPr>
      <w:r>
        <w:rPr>
          <w:color w:val="262626"/>
          <w:sz w:val="22"/>
          <w:szCs w:val="22"/>
        </w:rPr>
        <w:t xml:space="preserve">Detection stays simple and auditable. FinSight uses transparent, deterministic threshold rules (Section 6) rather than a trained black-box classifier, so every flag can be traced to an explicit, human-readable condition — directly addressing the auditability gap described in Section 1.2, and sidestepping the small-dataset reliability problem described in Section 1.3.</w:t>
      </w:r>
    </w:p>
    <w:p>
      <w:pPr>
        <w:pStyle w:val="ListParagraph"/>
        <w:numPr>
          <w:ilvl w:val="0"/>
          <w:numId w:val="2"/>
        </w:numPr>
        <w:spacing w:after="90"/>
      </w:pPr>
      <w:r>
        <w:rPr>
          <w:color w:val="262626"/>
          <w:sz w:val="22"/>
          <w:szCs w:val="22"/>
        </w:rPr>
        <w:t xml:space="preserve">Every flag is followed by an investigation, not just a score. FinSight's investigation engine (Section 8) automatically cross-references the flagged invoice against its linked purchase order, vendor history, and approval record — the exact manual work analysts otherwise have to do themselves, which Section 1.5 identifies as the real gap in existing systems.</w:t>
      </w:r>
    </w:p>
    <w:p>
      <w:pPr>
        <w:pStyle w:val="ListParagraph"/>
        <w:numPr>
          <w:ilvl w:val="0"/>
          <w:numId w:val="2"/>
        </w:numPr>
        <w:spacing w:after="90"/>
      </w:pPr>
      <w:r>
        <w:rPr>
          <w:color w:val="262626"/>
          <w:sz w:val="22"/>
          <w:szCs w:val="22"/>
        </w:rPr>
        <w:t xml:space="preserve">Risk level reflects the number of independent signals, not a single opaque number. FinSight classifies risk by counting how many distinct rules were triggered (Section 7), which is easier to justify to a reviewer in one sentence than a probability output from an uninspectable model.</w:t>
      </w:r>
    </w:p>
    <w:p>
      <w:pPr>
        <w:pStyle w:val="ListParagraph"/>
        <w:numPr>
          <w:ilvl w:val="0"/>
          <w:numId w:val="2"/>
        </w:numPr>
        <w:spacing w:after="90"/>
      </w:pPr>
      <w:r>
        <w:rPr>
          <w:color w:val="262626"/>
          <w:sz w:val="22"/>
          <w:szCs w:val="22"/>
        </w:rPr>
        <w:t xml:space="preserve">An LLM narrates the evidence, but is not the source of the evidence. FinSight's reasoning layer (Section 9) is explicitly constrained to the structured evidence already collected — it converts facts into a readable narrative, rather than being asked to “decide” fraud on its own, which keeps the system's actual decision logic transparent and separate from the language model.</w:t>
      </w:r>
    </w:p>
    <w:p>
      <w:pPr>
        <w:spacing w:after="160" w:line="300"/>
        <w:jc w:val="both"/>
      </w:pPr>
      <w:r>
        <w:rPr>
          <w:color w:val="262626"/>
          <w:sz w:val="22"/>
          <w:szCs w:val="22"/>
        </w:rPr>
        <w:t xml:space="preserve">This does not eliminate every limitation identified above — FinSight's own limitations are discussed candidly in Section 18 — but it targets the specific failure mode the research consistently points to: detection systems that hand back a verdict without a case file to support it.</w:t>
      </w:r>
    </w:p>
    <w:p>
      <w:r>
        <w:br w:type="page"/>
      </w:r>
    </w:p>
    <w:p>
      <w:pPr>
        <w:pStyle w:val="Heading1"/>
        <w:pBdr>
          <w:bottom w:val="single" w:color="1F3864" w:sz="12" w:space="4"/>
        </w:pBdr>
        <w:spacing w:after="200" w:before="400"/>
      </w:pPr>
      <w:r>
        <w:rPr>
          <w:b/>
          <w:bCs/>
          <w:color w:val="1F3864"/>
          <w:sz w:val="30"/>
          <w:szCs w:val="30"/>
        </w:rPr>
        <w:t xml:space="preserve">2. Executive Summary</w:t>
      </w:r>
    </w:p>
    <w:p>
      <w:pPr>
        <w:spacing w:after="160" w:line="300"/>
        <w:jc w:val="both"/>
      </w:pPr>
      <w:r>
        <w:rPr>
          <w:color w:val="262626"/>
          <w:sz w:val="22"/>
          <w:szCs w:val="22"/>
        </w:rPr>
        <w:t xml:space="preserve">FinSight is an AI-assisted financial investigation platform. Rather than stopping at a fraud score, it builds a step-by-step evidence trail for every flagged invoice — cross-referencing it against its linked purchase order, the issuing vendor's history, and its approval record — and uses a large language model to turn that structured evidence into a plain-language investigation narrative, in the way a financial analyst would justify escalating a case.</w:t>
      </w:r>
    </w:p>
    <w:p>
      <w:pPr>
        <w:spacing w:after="160" w:line="300"/>
        <w:jc w:val="both"/>
      </w:pPr>
      <w:r>
        <w:rPr>
          <w:b/>
          <w:bCs/>
          <w:color w:val="262626"/>
          <w:sz w:val="22"/>
          <w:szCs w:val="22"/>
        </w:rPr>
        <w:t xml:space="preserve">Our system</w:t>
      </w:r>
      <w:r>
        <w:rPr>
          <w:color w:val="262626"/>
          <w:sz w:val="22"/>
          <w:szCs w:val="22"/>
        </w:rPr>
        <w:t xml:space="preserve"> combines four components into a single workflow: a deterministic rule-based anomaly detector, a cross-source investigation engine, an evidence-grounded AI reasoning layer built on Google Gemini, and a three-month moving-average cash flow forecast, all presented through a single analyst-facing dashboard.</w:t>
      </w:r>
    </w:p>
    <w:p>
      <w:pPr>
        <w:spacing w:after="160" w:line="300"/>
        <w:jc w:val="both"/>
      </w:pPr>
      <w:r>
        <w:rPr>
          <w:color w:val="262626"/>
          <w:sz w:val="22"/>
          <w:szCs w:val="22"/>
        </w:rPr>
        <w:t xml:space="preserve">Run against the project's demonstration dataset of 184 invoices, FinSight identifies 4 flagged cases — 1 High risk and 3 Medium risk — out of a total flagged value of ₹9,85,921, and forecasts a near-term monthly outflow of approximately ₹34.12 lakh based on the three most recent months of transaction activity.</w:t>
      </w:r>
    </w:p>
    <w:p>
      <w:pPr>
        <w:pStyle w:val="Heading2"/>
        <w:spacing w:after="140" w:before="300"/>
      </w:pPr>
      <w:r>
        <w:rPr>
          <w:b/>
          <w:bCs/>
          <w:color w:val="0F6E5E"/>
          <w:sz w:val="24"/>
          <w:szCs w:val="24"/>
        </w:rPr>
        <w:t xml:space="preserve">2.1 Core Differentiator</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c>
          <w:tcPr>
            <w:shd w:fill="F8E6E6" w:val="clear"/>
            <w:tcMar>
              <w:top w:type="dxa" w:w="100"/>
              <w:left w:type="dxa" w:w="150"/>
              <w:bottom w:type="dxa" w:w="100"/>
              <w:right w:type="dxa" w:w="150"/>
            </w:tcMar>
          </w:tcPr>
          <w:p>
            <w:r>
              <w:rPr>
                <w:b/>
                <w:bCs/>
                <w:color w:val="9C2B2B"/>
                <w:sz w:val="21"/>
                <w:szCs w:val="21"/>
              </w:rPr>
              <w:t xml:space="preserve">Conventional Approach</w:t>
            </w:r>
          </w:p>
          <w:p>
            <w:r>
              <w:rPr>
                <w:sz w:val="20"/>
                <w:szCs w:val="20"/>
              </w:rPr>
              <w:t xml:space="preserve">Transaction → Anomaly score → Alert</w:t>
            </w:r>
          </w:p>
        </w:tc>
        <w:tc>
          <w:tcPr>
            <w:shd w:fill="E6F2EF" w:val="clear"/>
            <w:tcMar>
              <w:top w:type="dxa" w:w="100"/>
              <w:left w:type="dxa" w:w="150"/>
              <w:bottom w:type="dxa" w:w="100"/>
              <w:right w:type="dxa" w:w="150"/>
            </w:tcMar>
          </w:tcPr>
          <w:p>
            <w:r>
              <w:rPr>
                <w:b/>
                <w:bCs/>
                <w:color w:val="0F6E5E"/>
                <w:sz w:val="21"/>
                <w:szCs w:val="21"/>
              </w:rPr>
              <w:t xml:space="preserve">FinSight's Approach</w:t>
            </w:r>
          </w:p>
          <w:p>
            <w:r>
              <w:rPr>
                <w:sz w:val="20"/>
                <w:szCs w:val="20"/>
              </w:rPr>
              <w:t xml:space="preserve">Transaction → Anomaly signals → Evidence collection → Cross-source investigation → Explainable reasoning → Recommended action</w:t>
            </w:r>
          </w:p>
        </w:tc>
      </w:tr>
    </w:tbl>
    <w:p>
      <w:pPr>
        <w:spacing w:after="120"/>
      </w:pPr>
    </w:p>
    <w:p>
      <w:pPr>
        <w:spacing w:after="160" w:line="300"/>
        <w:jc w:val="both"/>
      </w:pPr>
      <w:r>
        <w:rPr>
          <w:color w:val="262626"/>
          <w:sz w:val="22"/>
          <w:szCs w:val="22"/>
        </w:rPr>
        <w:t xml:space="preserve">Detection tells an analyst what looks unusual; investigation explains why it deserves attention. That distinction is the organizing idea behind every design choice described in this document.</w:t>
      </w:r>
    </w:p>
    <w:p>
      <w:r>
        <w:br w:type="page"/>
      </w:r>
    </w:p>
    <w:p>
      <w:pPr>
        <w:pStyle w:val="Heading1"/>
        <w:pBdr>
          <w:bottom w:val="single" w:color="1F3864" w:sz="12" w:space="4"/>
        </w:pBdr>
        <w:spacing w:after="200" w:before="400"/>
      </w:pPr>
      <w:r>
        <w:rPr>
          <w:b/>
          <w:bCs/>
          <w:color w:val="1F3864"/>
          <w:sz w:val="30"/>
          <w:szCs w:val="30"/>
        </w:rPr>
        <w:t xml:space="preserve">3. Introduction</w:t>
      </w:r>
    </w:p>
    <w:p>
      <w:pPr>
        <w:spacing w:after="160" w:line="300"/>
        <w:jc w:val="both"/>
      </w:pPr>
      <w:r>
        <w:rPr>
          <w:color w:val="262626"/>
          <w:sz w:val="22"/>
          <w:szCs w:val="22"/>
        </w:rPr>
        <w:t xml:space="preserve">Financial teams — accounts payable, internal audit, and finance operations — process large volumes of invoices, purchase orders, and approvals every month. Within that volume, a small number of transactions are genuinely worth a closer look: duplicate invoices, amounts that drift far from a vendor's usual billing pattern, invoices with no linked purchase order, or approvals that move suspiciously fast. Finding these cases is only half the problem; the harder and more time-consuming half is building a case for why a specific transaction deserves attention, which today usually means an analyst manually pulling together the invoice, the PO, the vendor's history, and the approval log by hand.</w:t>
      </w:r>
    </w:p>
    <w:p>
      <w:pPr>
        <w:spacing w:after="160" w:line="300"/>
        <w:jc w:val="both"/>
      </w:pPr>
      <w:r>
        <w:rPr>
          <w:color w:val="262626"/>
          <w:sz w:val="22"/>
          <w:szCs w:val="22"/>
        </w:rPr>
        <w:t xml:space="preserve">FinSight automates that second half of the job. It is built as a three-layer system: a detection layer that flags candidate transactions using transparent rules, an investigation layer that automatically gathers the same supporting evidence an analyst would look for, and a reasoning layer that turns that evidence into a readable narrative and a recommended next step. The result is a tool designed less like a fraud-scoring engine and more like a junior analyst that has already pulled the file before handing it to a human for a final call.</w:t>
      </w:r>
    </w:p>
    <w:p>
      <w:pPr>
        <w:pStyle w:val="Heading2"/>
        <w:spacing w:after="140" w:before="300"/>
      </w:pPr>
      <w:r>
        <w:rPr>
          <w:b/>
          <w:bCs/>
          <w:color w:val="0F6E5E"/>
          <w:sz w:val="24"/>
          <w:szCs w:val="24"/>
        </w:rPr>
        <w:t xml:space="preserve">3.1 Objectives</w:t>
      </w:r>
    </w:p>
    <w:p>
      <w:pPr>
        <w:pStyle w:val="ListParagraph"/>
        <w:numPr>
          <w:ilvl w:val="0"/>
          <w:numId w:val="2"/>
        </w:numPr>
        <w:spacing w:after="90"/>
      </w:pPr>
      <w:r>
        <w:rPr>
          <w:color w:val="262626"/>
          <w:sz w:val="22"/>
          <w:szCs w:val="22"/>
        </w:rPr>
        <w:t xml:space="preserve">Detect candidate anomalies in invoice data using transparent, explainable rules rather than an opaque model.</w:t>
      </w:r>
    </w:p>
    <w:p>
      <w:pPr>
        <w:pStyle w:val="ListParagraph"/>
        <w:numPr>
          <w:ilvl w:val="0"/>
          <w:numId w:val="2"/>
        </w:numPr>
        <w:spacing w:after="90"/>
      </w:pPr>
      <w:r>
        <w:rPr>
          <w:color w:val="262626"/>
          <w:sz w:val="22"/>
          <w:szCs w:val="22"/>
        </w:rPr>
        <w:t xml:space="preserve">Automatically assemble a cross-source evidence trail (purchase order, vendor history, approval record) for every flagged case.</w:t>
      </w:r>
    </w:p>
    <w:p>
      <w:pPr>
        <w:pStyle w:val="ListParagraph"/>
        <w:numPr>
          <w:ilvl w:val="0"/>
          <w:numId w:val="2"/>
        </w:numPr>
        <w:spacing w:after="90"/>
      </w:pPr>
      <w:r>
        <w:rPr>
          <w:color w:val="262626"/>
          <w:sz w:val="22"/>
          <w:szCs w:val="22"/>
        </w:rPr>
        <w:t xml:space="preserve">Use an LLM strictly as a reasoning and narration layer over verified evidence, never as the source of new facts.</w:t>
      </w:r>
    </w:p>
    <w:p>
      <w:pPr>
        <w:pStyle w:val="ListParagraph"/>
        <w:numPr>
          <w:ilvl w:val="0"/>
          <w:numId w:val="2"/>
        </w:numPr>
        <w:spacing w:after="90"/>
      </w:pPr>
      <w:r>
        <w:rPr>
          <w:color w:val="262626"/>
          <w:sz w:val="22"/>
          <w:szCs w:val="22"/>
        </w:rPr>
        <w:t xml:space="preserve">Provide a transparent, near-term cash flow forecast alongside the investigation workflow.</w:t>
      </w:r>
    </w:p>
    <w:p>
      <w:pPr>
        <w:pStyle w:val="ListParagraph"/>
        <w:numPr>
          <w:ilvl w:val="0"/>
          <w:numId w:val="2"/>
        </w:numPr>
        <w:spacing w:after="90"/>
      </w:pPr>
      <w:r>
        <w:rPr>
          <w:color w:val="262626"/>
          <w:sz w:val="22"/>
          <w:szCs w:val="22"/>
        </w:rPr>
        <w:t xml:space="preserve">Present all of the above through a single analyst-facing dashboard.</w:t>
      </w:r>
    </w:p>
    <w:p>
      <w:r>
        <w:br w:type="page"/>
      </w:r>
    </w:p>
    <w:p>
      <w:pPr>
        <w:pStyle w:val="Heading1"/>
        <w:pBdr>
          <w:bottom w:val="single" w:color="1F3864" w:sz="12" w:space="4"/>
        </w:pBdr>
        <w:spacing w:after="200" w:before="400"/>
      </w:pPr>
      <w:r>
        <w:rPr>
          <w:b/>
          <w:bCs/>
          <w:color w:val="1F3864"/>
          <w:sz w:val="30"/>
          <w:szCs w:val="30"/>
        </w:rPr>
        <w:t xml:space="preserve">4. System Architecture &amp; Design Philosophy</w:t>
      </w:r>
    </w:p>
    <w:p>
      <w:pPr>
        <w:spacing w:after="160" w:line="300"/>
        <w:jc w:val="both"/>
      </w:pPr>
      <w:r>
        <w:rPr>
          <w:color w:val="262626"/>
          <w:sz w:val="22"/>
          <w:szCs w:val="22"/>
        </w:rPr>
        <w:t xml:space="preserve">FinSight's architecture is intentionally organized into three separable layers, so that each layer's job stays honest about what it actually does.</w:t>
      </w:r>
    </w:p>
    <w:p>
      <w:pPr>
        <w:pStyle w:val="Heading2"/>
        <w:spacing w:after="140" w:before="300"/>
      </w:pPr>
      <w:r>
        <w:rPr>
          <w:b/>
          <w:bCs/>
          <w:color w:val="0F6E5E"/>
          <w:sz w:val="24"/>
          <w:szCs w:val="24"/>
        </w:rPr>
        <w:t xml:space="preserve">4.1 Three-Layer Architecture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67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Responsibility</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Layer 1 — Detection</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Deterministic threshold rules identify candidate anomalous invoices from raw transaction data.</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Layer 2 — Investigation</w:t>
            </w:r>
          </w:p>
        </w:tc>
        <w:tc>
          <w:tcPr>
            <w:tcW w:type="dxa" w:w="6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Related financial records (PO, vendor history, approval log) are automatically cross-referenced to build a structured evidence object for each flagged invoice.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Layer 3 — Reasoning</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Gemini converts the structured evidence into an analyst-readable narrative and a recommended next action, without introducing facts of its own.</w:t>
            </w:r>
          </w:p>
        </w:tc>
      </w:tr>
    </w:tbl>
    <w:p>
      <w:pPr>
        <w:spacing w:after="120"/>
      </w:pPr>
    </w:p>
    <w:p>
      <w:pPr>
        <w:spacing w:after="160" w:line="300"/>
        <w:jc w:val="both"/>
      </w:pPr>
      <w:r>
        <w:rPr>
          <w:color w:val="262626"/>
          <w:sz w:val="22"/>
          <w:szCs w:val="22"/>
        </w:rPr>
        <w:t xml:space="preserve">This separation improves transparency and traceability: if a result looks wrong, it is possible to check whether the problem lies in the detection thresholds, the evidence retrieved, or the way that evidence was described — rather than debugging one monolithic model.</w:t>
      </w:r>
    </w:p>
    <w:p>
      <w:pPr>
        <w:pStyle w:val="Heading2"/>
        <w:spacing w:after="140" w:before="300"/>
      </w:pPr>
      <w:r>
        <w:rPr>
          <w:b/>
          <w:bCs/>
          <w:color w:val="0F6E5E"/>
          <w:sz w:val="24"/>
          <w:szCs w:val="24"/>
        </w:rPr>
        <w:t xml:space="preserve">4.2 End-to-End Data Flow</w:t>
      </w:r>
    </w:p>
    <w:p>
      <w:pPr>
        <w:spacing w:after="40"/>
        <w:jc w:val="center"/>
      </w:pPr>
      <w:r>
        <w:rPr>
          <w:b/>
          <w:bCs/>
          <w:color w:val="1F3864"/>
          <w:sz w:val="21"/>
          <w:szCs w:val="21"/>
        </w:rPr>
        <w:t xml:space="preserve">FINANCIAL DATA  (Invoices · Purchase Orders · Vendors · Approvals · Transactions)</w:t>
      </w:r>
    </w:p>
    <w:p>
      <w:pPr>
        <w:spacing w:after="40"/>
        <w:jc w:val="center"/>
      </w:pPr>
      <w:r>
        <w:rPr>
          <w:color w:val="595959"/>
          <w:sz w:val="24"/>
          <w:szCs w:val="24"/>
        </w:rPr>
        <w:t xml:space="preserve">↓</w:t>
      </w:r>
    </w:p>
    <w:p>
      <w:pPr>
        <w:spacing w:after="40"/>
        <w:jc w:val="center"/>
      </w:pPr>
      <w:r>
        <w:rPr>
          <w:b/>
          <w:bCs/>
          <w:color w:val="0F6E5E"/>
          <w:sz w:val="21"/>
          <w:szCs w:val="21"/>
        </w:rPr>
        <w:t xml:space="preserve">ANOMALY DETECTION  (5 deterministic rules)</w:t>
      </w:r>
    </w:p>
    <w:p>
      <w:pPr>
        <w:spacing w:after="40"/>
        <w:jc w:val="center"/>
      </w:pPr>
      <w:r>
        <w:rPr>
          <w:color w:val="595959"/>
          <w:sz w:val="24"/>
          <w:szCs w:val="24"/>
        </w:rPr>
        <w:t xml:space="preserve">↓</w:t>
      </w:r>
    </w:p>
    <w:p>
      <w:pPr>
        <w:spacing w:after="40"/>
        <w:jc w:val="center"/>
      </w:pPr>
      <w:r>
        <w:rPr>
          <w:b/>
          <w:bCs/>
          <w:color w:val="B45309"/>
          <w:sz w:val="21"/>
          <w:szCs w:val="21"/>
        </w:rPr>
        <w:t xml:space="preserve">RISK CLASSIFICATION  (NONE / LOW / MEDIUM / HIGH)</w:t>
      </w:r>
    </w:p>
    <w:p>
      <w:pPr>
        <w:spacing w:after="40"/>
        <w:jc w:val="center"/>
      </w:pPr>
      <w:r>
        <w:rPr>
          <w:color w:val="595959"/>
          <w:sz w:val="24"/>
          <w:szCs w:val="24"/>
        </w:rPr>
        <w:t xml:space="preserve">↓</w:t>
      </w:r>
    </w:p>
    <w:p>
      <w:pPr>
        <w:spacing w:after="40"/>
        <w:jc w:val="center"/>
      </w:pPr>
      <w:r>
        <w:rPr>
          <w:b/>
          <w:bCs/>
          <w:color w:val="0F6E5E"/>
          <w:sz w:val="21"/>
          <w:szCs w:val="21"/>
        </w:rPr>
        <w:t xml:space="preserve">INVESTIGATION ENGINE  (PO · Vendor history · Approval history)</w:t>
      </w:r>
    </w:p>
    <w:p>
      <w:pPr>
        <w:spacing w:after="40"/>
        <w:jc w:val="center"/>
      </w:pPr>
      <w:r>
        <w:rPr>
          <w:color w:val="595959"/>
          <w:sz w:val="24"/>
          <w:szCs w:val="24"/>
        </w:rPr>
        <w:t xml:space="preserve">↓</w:t>
      </w:r>
    </w:p>
    <w:p>
      <w:pPr>
        <w:spacing w:after="40"/>
        <w:jc w:val="center"/>
      </w:pPr>
      <w:r>
        <w:rPr>
          <w:b/>
          <w:bCs/>
          <w:color w:val="1F3864"/>
          <w:sz w:val="21"/>
          <w:szCs w:val="21"/>
        </w:rPr>
        <w:t xml:space="preserve">EVIDENCE CHAIN  (structured object)</w:t>
      </w:r>
    </w:p>
    <w:p>
      <w:pPr>
        <w:spacing w:after="40"/>
        <w:jc w:val="center"/>
      </w:pPr>
      <w:r>
        <w:rPr>
          <w:color w:val="595959"/>
          <w:sz w:val="24"/>
          <w:szCs w:val="24"/>
        </w:rPr>
        <w:t xml:space="preserve">↓</w:t>
      </w:r>
    </w:p>
    <w:p>
      <w:pPr>
        <w:spacing w:after="40"/>
        <w:jc w:val="center"/>
      </w:pPr>
      <w:r>
        <w:rPr>
          <w:b/>
          <w:bCs/>
          <w:color w:val="1F3864"/>
          <w:sz w:val="21"/>
          <w:szCs w:val="21"/>
        </w:rPr>
        <w:t xml:space="preserve">GEMINI REASONING  (evidence-grounded narrative)</w:t>
      </w:r>
    </w:p>
    <w:p>
      <w:pPr>
        <w:spacing w:after="40"/>
        <w:jc w:val="center"/>
      </w:pPr>
      <w:r>
        <w:rPr>
          <w:color w:val="595959"/>
          <w:sz w:val="24"/>
          <w:szCs w:val="24"/>
        </w:rPr>
        <w:t xml:space="preserve">↓</w:t>
      </w:r>
    </w:p>
    <w:p>
      <w:pPr>
        <w:spacing w:after="40"/>
        <w:jc w:val="center"/>
      </w:pPr>
      <w:r>
        <w:rPr>
          <w:b/>
          <w:bCs/>
          <w:color w:val="1F3864"/>
          <w:sz w:val="21"/>
          <w:szCs w:val="21"/>
        </w:rPr>
        <w:t xml:space="preserve">EXPLANATION + RECOMMENDED ACTION</w:t>
      </w:r>
    </w:p>
    <w:p>
      <w:pPr>
        <w:spacing w:after="40"/>
        <w:jc w:val="center"/>
      </w:pPr>
      <w:r>
        <w:rPr>
          <w:color w:val="595959"/>
          <w:sz w:val="24"/>
          <w:szCs w:val="24"/>
        </w:rPr>
        <w:t xml:space="preserve">↓</w:t>
      </w:r>
    </w:p>
    <w:p>
      <w:pPr>
        <w:spacing w:after="40"/>
        <w:jc w:val="center"/>
      </w:pPr>
      <w:r>
        <w:rPr>
          <w:b/>
          <w:bCs/>
          <w:color w:val="9C2B2B"/>
          <w:sz w:val="21"/>
          <w:szCs w:val="21"/>
        </w:rPr>
        <w:t xml:space="preserve">REACT DASHBOARD</w:t>
      </w:r>
    </w:p>
    <w:p>
      <w:r>
        <w:br w:type="page"/>
      </w:r>
    </w:p>
    <w:p>
      <w:pPr>
        <w:pStyle w:val="Heading1"/>
        <w:pBdr>
          <w:bottom w:val="single" w:color="1F3864" w:sz="12" w:space="4"/>
        </w:pBdr>
        <w:spacing w:after="200" w:before="400"/>
      </w:pPr>
      <w:r>
        <w:rPr>
          <w:b/>
          <w:bCs/>
          <w:color w:val="1F3864"/>
          <w:sz w:val="30"/>
          <w:szCs w:val="30"/>
        </w:rPr>
        <w:t xml:space="preserve">5. Dataset</w:t>
      </w:r>
    </w:p>
    <w:p>
      <w:pPr>
        <w:spacing w:after="160" w:line="300"/>
        <w:jc w:val="both"/>
      </w:pPr>
      <w:r>
        <w:rPr>
          <w:color w:val="262626"/>
          <w:sz w:val="22"/>
          <w:szCs w:val="22"/>
        </w:rPr>
        <w:t xml:space="preserve">FinSight's current prototype runs on a synthetically generated dataset, built to mirror the structure of real accounts-payable data while remaining fully reproducible (fixed random seed of 42). The generator deliberately plants a small number of known anomalies so that the detection and investigation pipeline can be validated end-to-end before any real financial data is introduced.</w:t>
      </w:r>
    </w:p>
    <w:p>
      <w:pPr>
        <w:pStyle w:val="Heading2"/>
        <w:spacing w:after="140" w:before="300"/>
      </w:pPr>
      <w:r>
        <w:rPr>
          <w:b/>
          <w:bCs/>
          <w:color w:val="0F6E5E"/>
          <w:sz w:val="24"/>
          <w:szCs w:val="24"/>
        </w:rPr>
        <w:t xml:space="preserve">5.1 The Five Linked Datasets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300"/>
        <w:gridCol w:w="585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Dataset</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Rows</w:t>
            </w:r>
          </w:p>
        </w:tc>
        <w:tc>
          <w:tcPr>
            <w:tcW w:type="dxa" w:w="58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Key Fields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Vendors</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15</w:t>
            </w:r>
          </w:p>
        </w:tc>
        <w:tc>
          <w:tcPr>
            <w:tcW w:type="dxa" w:w="58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vendor_id, name, avg_invoice_amount, first_seen_date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Purchase Orders</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150</w:t>
            </w:r>
          </w:p>
        </w:tc>
        <w:tc>
          <w:tcPr>
            <w:tcW w:type="dxa" w:w="58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po_id, vendor_id, amount, department, created_date, status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Invoices</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184</w:t>
            </w:r>
          </w:p>
        </w:tc>
        <w:tc>
          <w:tcPr>
            <w:tcW w:type="dxa" w:w="58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invoice_id, vendor_id, po_id, amount, date, time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Approvals</w:t>
            </w:r>
          </w:p>
        </w:tc>
        <w:tc>
          <w:tcPr>
            <w:tcW w:type="dxa" w:w="1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184</w:t>
            </w:r>
          </w:p>
        </w:tc>
        <w:tc>
          <w:tcPr>
            <w:tcW w:type="dxa" w:w="58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approval_id, invoice_id, approver_id, submitted_at, approved_at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Transactions</w:t>
            </w:r>
          </w:p>
        </w:tc>
        <w:tc>
          <w:tcPr>
            <w:tcW w:type="dxa" w:w="1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184</w:t>
            </w:r>
          </w:p>
        </w:tc>
        <w:tc>
          <w:tcPr>
            <w:tcW w:type="dxa" w:w="58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txn_id, invoice_id, amount, date</w:t>
            </w:r>
          </w:p>
        </w:tc>
      </w:tr>
    </w:tbl>
    <w:p>
      <w:pPr>
        <w:spacing w:after="120"/>
      </w:pPr>
    </w:p>
    <w:p>
      <w:pPr>
        <w:spacing w:after="160" w:line="300"/>
        <w:jc w:val="both"/>
      </w:pPr>
      <w:r>
        <w:rPr>
          <w:color w:val="262626"/>
          <w:sz w:val="22"/>
          <w:szCs w:val="22"/>
        </w:rPr>
        <w:t xml:space="preserve">The datasets are linked through shared identifiers — a Vendor ID connects vendors to purchase orders and invoices; a PO ID and Invoice ID connect purchase orders, approvals, and transactions to their originating invoice. This linkage is what makes cross-source investigation possible: every flagged invoice can be traced outward to its PO, its vendor's history, and its approval record.</w:t>
      </w:r>
    </w:p>
    <w:p>
      <w:pPr>
        <w:pStyle w:val="Heading2"/>
        <w:spacing w:after="140" w:before="300"/>
      </w:pPr>
      <w:r>
        <w:rPr>
          <w:b/>
          <w:bCs/>
          <w:color w:val="0F6E5E"/>
          <w:sz w:val="24"/>
          <w:szCs w:val="24"/>
        </w:rPr>
        <w:t xml:space="preserve">5.2 Coverage &amp; Planted Anomalies</w:t>
      </w:r>
    </w:p>
    <w:p>
      <w:pPr>
        <w:spacing w:after="160" w:line="300"/>
        <w:jc w:val="both"/>
      </w:pPr>
      <w:r>
        <w:rPr>
          <w:color w:val="262626"/>
          <w:sz w:val="22"/>
          <w:szCs w:val="22"/>
        </w:rPr>
        <w:t xml:space="preserve">The generated records span approximately January to September 2025, with vendor “first seen” dates reaching back into 2024. Four invoices are intentionally constructed as anomalous test cases:</w:t>
      </w:r>
    </w:p>
    <w:p>
      <w:pPr>
        <w:pStyle w:val="ListParagraph"/>
        <w:numPr>
          <w:ilvl w:val="0"/>
          <w:numId w:val="2"/>
        </w:numPr>
        <w:spacing w:after="90"/>
      </w:pPr>
      <w:r>
        <w:rPr>
          <w:color w:val="262626"/>
          <w:sz w:val="22"/>
          <w:szCs w:val="22"/>
        </w:rPr>
        <w:t xml:space="preserve">INV003 — PO mismatch, vendor deviation, and an unusually fast approval, submitted at 23:47.</w:t>
      </w:r>
    </w:p>
    <w:p>
      <w:pPr>
        <w:pStyle w:val="ListParagraph"/>
        <w:numPr>
          <w:ilvl w:val="0"/>
          <w:numId w:val="2"/>
        </w:numPr>
        <w:spacing w:after="90"/>
      </w:pPr>
      <w:r>
        <w:rPr>
          <w:color w:val="262626"/>
          <w:sz w:val="22"/>
          <w:szCs w:val="22"/>
        </w:rPr>
        <w:t xml:space="preserve">INV021 &amp; INV022 — a duplicate invoice pair from the same vendor, for the same amount, submitted within days of each other and approved quickly.</w:t>
      </w:r>
    </w:p>
    <w:p>
      <w:pPr>
        <w:pStyle w:val="ListParagraph"/>
        <w:numPr>
          <w:ilvl w:val="0"/>
          <w:numId w:val="2"/>
        </w:numPr>
        <w:spacing w:after="90"/>
      </w:pPr>
      <w:r>
        <w:rPr>
          <w:color w:val="262626"/>
          <w:sz w:val="22"/>
          <w:szCs w:val="22"/>
        </w:rPr>
        <w:t xml:space="preserve">INV045 — no linked purchase order, with an amount well above the vendor's historical average.</w:t>
      </w:r>
    </w:p>
    <w:p>
      <w:pPr>
        <w:pStyle w:val="Heading2"/>
        <w:spacing w:after="140" w:before="300"/>
      </w:pPr>
      <w:r>
        <w:rPr>
          <w:b/>
          <w:bCs/>
          <w:color w:val="0F6E5E"/>
          <w:sz w:val="24"/>
          <w:szCs w:val="24"/>
        </w:rPr>
        <w:t xml:space="preserve">5.3 A Note on Scope</w:t>
      </w:r>
    </w:p>
    <w:tbl>
      <w:tblPr>
        <w:tblW w:type="dxa" w:w="9350"/>
        <w:tblBorders>
          <w:top w:val="single" w:color="B45309" w:sz="4"/>
          <w:left w:val="single" w:color="B45309" w:sz="24"/>
          <w:bottom w:val="single" w:color="B45309" w:sz="4"/>
          <w:right w:val="single" w:color="B45309" w:sz="4"/>
          <w:insideH w:val="single" w:color="auto" w:sz="4"/>
          <w:insideV w:val="single" w:color="auto" w:sz="4"/>
        </w:tblBorders>
      </w:tblPr>
      <w:tblGrid>
        <w:gridCol w:w="9350"/>
      </w:tblGrid>
      <w:tr>
        <w:tc>
          <w:tcPr>
            <w:tcW w:type="dxa" w:w="9350"/>
            <w:shd w:fill="FCEFDC" w:val="clear"/>
            <w:tcMar>
              <w:top w:type="dxa" w:w="140"/>
              <w:left w:type="dxa" w:w="200"/>
              <w:bottom w:type="dxa" w:w="140"/>
              <w:right w:type="dxa" w:w="200"/>
            </w:tcMar>
          </w:tcPr>
          <w:p>
            <w:pPr>
              <w:spacing w:after="60"/>
            </w:pPr>
            <w:r>
              <w:rPr>
                <w:b/>
                <w:bCs/>
                <w:color w:val="B45309"/>
                <w:sz w:val="21"/>
                <w:szCs w:val="21"/>
              </w:rPr>
              <w:t xml:space="preserve">HONEST SCOPING</w:t>
            </w:r>
          </w:p>
          <w:p>
            <w:pPr>
              <w:spacing w:after="0"/>
            </w:pPr>
            <w:r>
              <w:rPr>
                <w:color w:val="262626"/>
                <w:sz w:val="21"/>
                <w:szCs w:val="21"/>
              </w:rPr>
              <w:t xml:space="preserve">This is a small, synthetic demonstration dataset, not production-scale enterprise data. FinSight's detection and investigation logic is validated against it, but no claim is made here about performance on larger or real-world financial datasets — that is explicitly listed as a limitation in Section 18 and a direction for future work in Section 19.</w:t>
            </w:r>
          </w:p>
        </w:tc>
      </w:tr>
    </w:tbl>
    <w:p>
      <w:r>
        <w:br w:type="page"/>
      </w:r>
    </w:p>
    <w:p>
      <w:pPr>
        <w:pStyle w:val="Heading1"/>
        <w:pBdr>
          <w:bottom w:val="single" w:color="1F3864" w:sz="12" w:space="4"/>
        </w:pBdr>
        <w:spacing w:after="200" w:before="400"/>
      </w:pPr>
      <w:r>
        <w:rPr>
          <w:b/>
          <w:bCs/>
          <w:color w:val="1F3864"/>
          <w:sz w:val="30"/>
          <w:szCs w:val="30"/>
        </w:rPr>
        <w:t xml:space="preserve">6. Anomaly Detection Engine</w:t>
      </w:r>
    </w:p>
    <w:p>
      <w:pPr>
        <w:spacing w:after="160" w:line="300"/>
        <w:jc w:val="both"/>
      </w:pPr>
      <w:r>
        <w:rPr>
          <w:color w:val="262626"/>
          <w:sz w:val="22"/>
          <w:szCs w:val="22"/>
        </w:rPr>
        <w:t xml:space="preserve">FinSight's detection layer is deterministic and rule-based by design — not a trained machine-learning model. This choice follows directly from the research in Section 1: a transparent, threshold-based rule is easy to audit and explain, which matters more at this stage of the project than the marginal accuracy a trained classifier might add on a dataset this size. Five independent checks run against every invoice.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200"/>
        <w:gridCol w:w="6650"/>
      </w:tblGrid>
      <w:tr>
        <w:trPr>
          <w:tblHeader/>
        </w:trPr>
        <w:tc>
          <w:tcPr>
            <w:tcW w:type="dxa" w:w="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Rule</w:t>
            </w:r>
          </w:p>
        </w:tc>
        <w:tc>
          <w:tcPr>
            <w:tcW w:type="dxa" w:w="66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Trigger Condition</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PO Mismatch</w:t>
            </w:r>
          </w:p>
        </w:tc>
        <w:tc>
          <w:tcPr>
            <w:tcW w:type="dxa" w:w="66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 amount exceeds 1.15× the linked PO amount (a 15% tolerance is allowed before flagging).</w:t>
            </w:r>
          </w:p>
        </w:tc>
      </w:tr>
      <w:tr>
        <w:trPr>
          <w:cantSplit/>
        </w:trPr>
        <w:tc>
          <w:tcPr>
            <w:tcW w:type="dxa" w:w="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2</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Missing PO</w:t>
            </w:r>
          </w:p>
        </w:tc>
        <w:tc>
          <w:tcPr>
            <w:tcW w:type="dxa" w:w="66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The invoice has no linked purchase order at all.</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 Deviation</w:t>
            </w:r>
          </w:p>
        </w:tc>
        <w:tc>
          <w:tcPr>
            <w:tcW w:type="dxa" w:w="66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 amount exceeds 1.5× the vendor's historical average invoice amount.</w:t>
            </w:r>
          </w:p>
        </w:tc>
      </w:tr>
      <w:tr>
        <w:trPr>
          <w:cantSplit/>
        </w:trPr>
        <w:tc>
          <w:tcPr>
            <w:tcW w:type="dxa" w:w="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4</w:t>
            </w:r>
          </w:p>
        </w:tc>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Fast Approval</w:t>
            </w:r>
          </w:p>
        </w:tc>
        <w:tc>
          <w:tcPr>
            <w:tcW w:type="dxa" w:w="66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The invoice was approved in under 10 minutes of submission.</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Duplicate Invoice</w:t>
            </w:r>
          </w:p>
        </w:tc>
        <w:tc>
          <w:tcPr>
            <w:tcW w:type="dxa" w:w="66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Another invoice exists from the same vendor, for the same amount, with a different invoice ID, submitted within 5 days.</w:t>
            </w:r>
          </w:p>
        </w:tc>
      </w:tr>
    </w:tbl>
    <w:p>
      <w:pPr>
        <w:spacing w:after="120"/>
      </w:pPr>
    </w:p>
    <w:p>
      <w:pPr>
        <w:spacing w:after="160" w:line="300"/>
        <w:jc w:val="both"/>
      </w:pPr>
      <w:r>
        <w:rPr>
          <w:color w:val="262626"/>
          <w:sz w:val="22"/>
          <w:szCs w:val="22"/>
        </w:rPr>
        <w:t xml:space="preserve">Each rule produces an independent, human-readable reason — no rule outputs a probability or a black-box score. An invoice can trigger any combination of these five, and every trigger is preserved for the investigation and reasoning layers downstream.</w:t>
      </w:r>
    </w:p>
    <w:p>
      <w:r>
        <w:br w:type="page"/>
      </w:r>
    </w:p>
    <w:p>
      <w:pPr>
        <w:pStyle w:val="Heading1"/>
        <w:pBdr>
          <w:bottom w:val="single" w:color="1F3864" w:sz="12" w:space="4"/>
        </w:pBdr>
        <w:spacing w:after="200" w:before="400"/>
      </w:pPr>
      <w:r>
        <w:rPr>
          <w:b/>
          <w:bCs/>
          <w:color w:val="1F3864"/>
          <w:sz w:val="30"/>
          <w:szCs w:val="30"/>
        </w:rPr>
        <w:t xml:space="preserve">7. Risk Classification</w:t>
      </w:r>
    </w:p>
    <w:p>
      <w:pPr>
        <w:spacing w:after="160" w:line="300"/>
        <w:jc w:val="both"/>
      </w:pPr>
      <w:r>
        <w:rPr>
          <w:color w:val="262626"/>
          <w:sz w:val="22"/>
          <w:szCs w:val="22"/>
        </w:rPr>
        <w:t xml:space="preserve">FinSight's risk level is a deterministic classification based on the number of independent rules an invoice triggers — it is not a machine-learned fraud probability. This is a deliberate wording choice: the system does not claim to predict a fraud probability of, say, 87%, because that is simply not what the underlying logic computes.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Rules Triggered</w:t>
            </w:r>
          </w:p>
        </w:tc>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Risk Level</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0</w:t>
            </w:r>
          </w:p>
        </w:tc>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bCs/>
                <w:color w:val="595959"/>
                <w:sz w:val="20"/>
                <w:szCs w:val="20"/>
              </w:rPr>
              <w:t xml:space="preserve">NONE</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1</w:t>
            </w:r>
          </w:p>
        </w:tc>
        <w:tc>
          <w:tcPr>
            <w:tcW w:type="dxa" w:w="4675"/>
            <w:tcBorders>
              <w:top w:val="single" w:color="BFBFBF" w:sz="4"/>
              <w:left w:val="single" w:color="BFBFBF" w:sz="4"/>
              <w:bottom w:val="single" w:color="BFBFBF" w:sz="4"/>
              <w:right w:val="single" w:color="BFBFBF" w:sz="4"/>
            </w:tcBorders>
            <w:shd w:fill="E6F2EF" w:val="clear"/>
            <w:tcMar>
              <w:top w:type="dxa" w:w="90"/>
              <w:left w:type="dxa" w:w="120"/>
              <w:bottom w:type="dxa" w:w="90"/>
              <w:right w:type="dxa" w:w="120"/>
            </w:tcMar>
            <w:vAlign w:val="center"/>
          </w:tcPr>
          <w:p>
            <w:r>
              <w:rPr>
                <w:b/>
                <w:bCs/>
                <w:color w:val="0F6E5E"/>
                <w:sz w:val="20"/>
                <w:szCs w:val="20"/>
              </w:rPr>
              <w:t xml:space="preserve">LOW</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2</w:t>
            </w:r>
          </w:p>
        </w:tc>
        <w:tc>
          <w:tcPr>
            <w:tcW w:type="dxa" w:w="4675"/>
            <w:tcBorders>
              <w:top w:val="single" w:color="BFBFBF" w:sz="4"/>
              <w:left w:val="single" w:color="BFBFBF" w:sz="4"/>
              <w:bottom w:val="single" w:color="BFBFBF" w:sz="4"/>
              <w:right w:val="single" w:color="BFBFBF" w:sz="4"/>
            </w:tcBorders>
            <w:shd w:fill="FCEFDC" w:val="clear"/>
            <w:tcMar>
              <w:top w:type="dxa" w:w="90"/>
              <w:left w:type="dxa" w:w="120"/>
              <w:bottom w:type="dxa" w:w="90"/>
              <w:right w:type="dxa" w:w="120"/>
            </w:tcMar>
            <w:vAlign w:val="center"/>
          </w:tcPr>
          <w:p>
            <w:r>
              <w:rPr>
                <w:b/>
                <w:bCs/>
                <w:color w:val="B45309"/>
                <w:sz w:val="20"/>
                <w:szCs w:val="20"/>
              </w:rPr>
              <w:t xml:space="preserve">MEDIUM</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3+</w:t>
            </w:r>
          </w:p>
        </w:tc>
        <w:tc>
          <w:tcPr>
            <w:tcW w:type="dxa" w:w="4675"/>
            <w:tcBorders>
              <w:top w:val="single" w:color="BFBFBF" w:sz="4"/>
              <w:left w:val="single" w:color="BFBFBF" w:sz="4"/>
              <w:bottom w:val="single" w:color="BFBFBF" w:sz="4"/>
              <w:right w:val="single" w:color="BFBFBF" w:sz="4"/>
            </w:tcBorders>
            <w:shd w:fill="F8E6E6" w:val="clear"/>
            <w:tcMar>
              <w:top w:type="dxa" w:w="90"/>
              <w:left w:type="dxa" w:w="120"/>
              <w:bottom w:type="dxa" w:w="90"/>
              <w:right w:type="dxa" w:w="120"/>
            </w:tcMar>
            <w:vAlign w:val="center"/>
          </w:tcPr>
          <w:p>
            <w:r>
              <w:rPr>
                <w:b/>
                <w:bCs/>
                <w:color w:val="9C2B2B"/>
                <w:sz w:val="20"/>
                <w:szCs w:val="20"/>
              </w:rPr>
              <w:t xml:space="preserve">HIGH</w:t>
            </w:r>
          </w:p>
        </w:tc>
      </w:tr>
    </w:tbl>
    <w:p>
      <w:pPr>
        <w:spacing w:after="120"/>
      </w:pPr>
    </w:p>
    <w:p>
      <w:pPr>
        <w:spacing w:after="160" w:line="300"/>
        <w:jc w:val="both"/>
      </w:pPr>
      <w:r>
        <w:rPr>
          <w:b/>
          <w:bCs/>
          <w:color w:val="262626"/>
          <w:sz w:val="22"/>
          <w:szCs w:val="22"/>
        </w:rPr>
        <w:t xml:space="preserve">Why this matters: </w:t>
      </w:r>
      <w:r>
        <w:rPr>
          <w:color w:val="262626"/>
          <w:sz w:val="22"/>
          <w:szCs w:val="22"/>
        </w:rPr>
        <w:t xml:space="preserve">a risk level built from a visible count of triggered rules can be explained to a reviewer in one sentence — “this invoice tripped three separate checks” — in a way an unexplained probability score cannot. It directly reflects the number of independent, named pieces of evidence behind the flag.</w:t>
      </w:r>
    </w:p>
    <w:p>
      <w:r>
        <w:br w:type="page"/>
      </w:r>
    </w:p>
    <w:p>
      <w:pPr>
        <w:pStyle w:val="Heading1"/>
        <w:pBdr>
          <w:bottom w:val="single" w:color="1F3864" w:sz="12" w:space="4"/>
        </w:pBdr>
        <w:spacing w:after="200" w:before="400"/>
      </w:pPr>
      <w:r>
        <w:rPr>
          <w:b/>
          <w:bCs/>
          <w:color w:val="1F3864"/>
          <w:sz w:val="30"/>
          <w:szCs w:val="30"/>
        </w:rPr>
        <w:t xml:space="preserve">8. Investigation Engine</w:t>
      </w:r>
    </w:p>
    <w:p>
      <w:pPr>
        <w:spacing w:after="160" w:line="300"/>
        <w:jc w:val="both"/>
      </w:pPr>
      <w:r>
        <w:rPr>
          <w:color w:val="262626"/>
          <w:sz w:val="22"/>
          <w:szCs w:val="22"/>
        </w:rPr>
        <w:t xml:space="preserve">Once an invoice is flagged, the investigation engine automatically performs the cross-referencing work an analyst would otherwise do manually. For the selected invoice, it walks outward through the linked records in a fixed order:</w:t>
      </w:r>
    </w:p>
    <w:p>
      <w:pPr>
        <w:spacing w:after="40"/>
        <w:jc w:val="center"/>
      </w:pPr>
      <w:r>
        <w:rPr>
          <w:b/>
          <w:bCs/>
          <w:color w:val="1F3864"/>
          <w:sz w:val="21"/>
          <w:szCs w:val="21"/>
        </w:rPr>
        <w:t xml:space="preserve">Invoice</w:t>
      </w:r>
    </w:p>
    <w:p>
      <w:pPr>
        <w:spacing w:after="40"/>
        <w:jc w:val="center"/>
      </w:pPr>
      <w:r>
        <w:rPr>
          <w:color w:val="595959"/>
          <w:sz w:val="24"/>
          <w:szCs w:val="24"/>
        </w:rPr>
        <w:t xml:space="preserve">↓</w:t>
      </w:r>
    </w:p>
    <w:p>
      <w:pPr>
        <w:spacing w:after="40"/>
        <w:jc w:val="center"/>
      </w:pPr>
      <w:r>
        <w:rPr>
          <w:b/>
          <w:bCs/>
          <w:color w:val="0F6E5E"/>
          <w:sz w:val="21"/>
          <w:szCs w:val="21"/>
        </w:rPr>
        <w:t xml:space="preserve">Purchase Order</w:t>
      </w:r>
    </w:p>
    <w:p>
      <w:pPr>
        <w:spacing w:after="40"/>
        <w:jc w:val="center"/>
      </w:pPr>
      <w:r>
        <w:rPr>
          <w:color w:val="595959"/>
          <w:sz w:val="24"/>
          <w:szCs w:val="24"/>
        </w:rPr>
        <w:t xml:space="preserve">↓</w:t>
      </w:r>
    </w:p>
    <w:p>
      <w:pPr>
        <w:spacing w:after="40"/>
        <w:jc w:val="center"/>
      </w:pPr>
      <w:r>
        <w:rPr>
          <w:b/>
          <w:bCs/>
          <w:color w:val="0F6E5E"/>
          <w:sz w:val="21"/>
          <w:szCs w:val="21"/>
        </w:rPr>
        <w:t xml:space="preserve">Vendor History</w:t>
      </w:r>
    </w:p>
    <w:p>
      <w:pPr>
        <w:spacing w:after="40"/>
        <w:jc w:val="center"/>
      </w:pPr>
      <w:r>
        <w:rPr>
          <w:color w:val="595959"/>
          <w:sz w:val="24"/>
          <w:szCs w:val="24"/>
        </w:rPr>
        <w:t xml:space="preserve">↓</w:t>
      </w:r>
    </w:p>
    <w:p>
      <w:pPr>
        <w:spacing w:after="40"/>
        <w:jc w:val="center"/>
      </w:pPr>
      <w:r>
        <w:rPr>
          <w:b/>
          <w:bCs/>
          <w:color w:val="0F6E5E"/>
          <w:sz w:val="21"/>
          <w:szCs w:val="21"/>
        </w:rPr>
        <w:t xml:space="preserve">Approval History</w:t>
      </w:r>
    </w:p>
    <w:p>
      <w:pPr>
        <w:spacing w:after="120"/>
      </w:pPr>
    </w:p>
    <w:p>
      <w:pPr>
        <w:spacing w:after="160" w:line="300"/>
        <w:jc w:val="both"/>
      </w:pPr>
      <w:r>
        <w:rPr>
          <w:color w:val="262626"/>
          <w:sz w:val="22"/>
          <w:szCs w:val="22"/>
        </w:rPr>
        <w:t xml:space="preserve">At each step, the engine records what was checked, what was found, and whether that step is “flagged” or “clear.” The output is a single structured evidence object containing:</w:t>
      </w:r>
    </w:p>
    <w:p>
      <w:pPr>
        <w:pStyle w:val="ListParagraph"/>
        <w:numPr>
          <w:ilvl w:val="0"/>
          <w:numId w:val="2"/>
        </w:numPr>
        <w:spacing w:after="90"/>
      </w:pPr>
      <w:r>
        <w:rPr>
          <w:color w:val="262626"/>
          <w:sz w:val="22"/>
          <w:szCs w:val="22"/>
        </w:rPr>
        <w:t xml:space="preserve">Invoice ID and amount</w:t>
      </w:r>
    </w:p>
    <w:p>
      <w:pPr>
        <w:pStyle w:val="ListParagraph"/>
        <w:numPr>
          <w:ilvl w:val="0"/>
          <w:numId w:val="2"/>
        </w:numPr>
        <w:spacing w:after="90"/>
      </w:pPr>
      <w:r>
        <w:rPr>
          <w:color w:val="262626"/>
          <w:sz w:val="22"/>
          <w:szCs w:val="22"/>
        </w:rPr>
        <w:t xml:space="preserve">Linked PO ID and amount</w:t>
      </w:r>
    </w:p>
    <w:p>
      <w:pPr>
        <w:pStyle w:val="ListParagraph"/>
        <w:numPr>
          <w:ilvl w:val="0"/>
          <w:numId w:val="2"/>
        </w:numPr>
        <w:spacing w:after="90"/>
      </w:pPr>
      <w:r>
        <w:rPr>
          <w:color w:val="262626"/>
          <w:sz w:val="22"/>
          <w:szCs w:val="22"/>
        </w:rPr>
        <w:t xml:space="preserve">Vendor ID, name, and historical average invoice amount</w:t>
      </w:r>
    </w:p>
    <w:p>
      <w:pPr>
        <w:pStyle w:val="ListParagraph"/>
        <w:numPr>
          <w:ilvl w:val="0"/>
          <w:numId w:val="2"/>
        </w:numPr>
        <w:spacing w:after="90"/>
      </w:pPr>
      <w:r>
        <w:rPr>
          <w:color w:val="262626"/>
          <w:sz w:val="22"/>
          <w:szCs w:val="22"/>
        </w:rPr>
        <w:t xml:space="preserve">Approver ID and approval duration</w:t>
      </w:r>
    </w:p>
    <w:p>
      <w:pPr>
        <w:pStyle w:val="ListParagraph"/>
        <w:numPr>
          <w:ilvl w:val="0"/>
          <w:numId w:val="2"/>
        </w:numPr>
        <w:spacing w:after="90"/>
      </w:pPr>
      <w:r>
        <w:rPr>
          <w:color w:val="262626"/>
          <w:sz w:val="22"/>
          <w:szCs w:val="22"/>
        </w:rPr>
        <w:t xml:space="preserve">Each individual investigation step, with its flagged/clear status</w:t>
      </w:r>
    </w:p>
    <w:p>
      <w:pPr>
        <w:spacing w:after="160" w:line="300"/>
        <w:jc w:val="both"/>
      </w:pPr>
      <w:r>
        <w:rPr>
          <w:color w:val="262626"/>
          <w:sz w:val="22"/>
          <w:szCs w:val="22"/>
        </w:rPr>
        <w:t xml:space="preserve">This structured object — not the raw dataset, and not a free-form summary — is what gets passed on to the AI reasoning layer, which is the key design decision behind FinSight's approach to grounding.</w:t>
      </w:r>
    </w:p>
    <w:p>
      <w:r>
        <w:br w:type="page"/>
      </w:r>
    </w:p>
    <w:p>
      <w:pPr>
        <w:pStyle w:val="Heading1"/>
        <w:pBdr>
          <w:bottom w:val="single" w:color="1F3864" w:sz="12" w:space="4"/>
        </w:pBdr>
        <w:spacing w:after="200" w:before="400"/>
      </w:pPr>
      <w:r>
        <w:rPr>
          <w:b/>
          <w:bCs/>
          <w:color w:val="1F3864"/>
          <w:sz w:val="30"/>
          <w:szCs w:val="30"/>
        </w:rPr>
        <w:t xml:space="preserve">9. AI Reasoning Layer</w:t>
      </w:r>
    </w:p>
    <w:p>
      <w:pPr>
        <w:spacing w:after="160" w:line="300"/>
        <w:jc w:val="both"/>
      </w:pPr>
      <w:r>
        <w:rPr>
          <w:color w:val="262626"/>
          <w:sz w:val="22"/>
          <w:szCs w:val="22"/>
        </w:rPr>
        <w:t xml:space="preserve">FinSight uses Google Gemini (Gemini 3.5 Flash-Lite as the primary model, with Gemini 2.5 Flash-Lite as a fallback) as its reasoning and narration layer. This is worth stating precisely, because it is easy to describe imprecisely: Gemini does not detect anomalies, and it does not decide risk levels. Both of those happen deterministically, before Gemini is ever called.</w:t>
      </w:r>
    </w:p>
    <w:tbl>
      <w:tblPr>
        <w:tblW w:type="dxa" w:w="9350"/>
        <w:tblBorders>
          <w:top w:val="single" w:color="0F6E5E" w:sz="4"/>
          <w:left w:val="single" w:color="0F6E5E" w:sz="24"/>
          <w:bottom w:val="single" w:color="0F6E5E" w:sz="4"/>
          <w:right w:val="single" w:color="0F6E5E" w:sz="4"/>
          <w:insideH w:val="single" w:color="auto" w:sz="4"/>
          <w:insideV w:val="single" w:color="auto" w:sz="4"/>
        </w:tblBorders>
      </w:tblPr>
      <w:tblGrid>
        <w:gridCol w:w="9350"/>
      </w:tblGrid>
      <w:tr>
        <w:tc>
          <w:tcPr>
            <w:tcW w:type="dxa" w:w="9350"/>
            <w:shd w:fill="E6F2EF" w:val="clear"/>
            <w:tcMar>
              <w:top w:type="dxa" w:w="140"/>
              <w:left w:type="dxa" w:w="200"/>
              <w:bottom w:type="dxa" w:w="140"/>
              <w:right w:type="dxa" w:w="200"/>
            </w:tcMar>
          </w:tcPr>
          <w:p>
            <w:pPr>
              <w:spacing w:after="60"/>
            </w:pPr>
            <w:r>
              <w:rPr>
                <w:b/>
                <w:bCs/>
                <w:color w:val="0F6E5E"/>
                <w:sz w:val="21"/>
                <w:szCs w:val="21"/>
              </w:rPr>
              <w:t xml:space="preserve">PRECISE ROLE STATEMENT</w:t>
            </w:r>
          </w:p>
          <w:p>
            <w:pPr>
              <w:spacing w:after="0"/>
            </w:pPr>
            <w:r>
              <w:rPr>
                <w:color w:val="262626"/>
                <w:sz w:val="21"/>
                <w:szCs w:val="21"/>
              </w:rPr>
              <w:t xml:space="preserve">The anomaly detection layer identifies potentially suspicious transactions, while Gemini is used to reason over the collected evidence and generate a human-readable investigation narrative.</w:t>
            </w:r>
          </w:p>
        </w:tc>
      </w:tr>
    </w:tbl>
    <w:p>
      <w:pPr>
        <w:spacing w:after="120"/>
      </w:pPr>
    </w:p>
    <w:p>
      <w:pPr>
        <w:pStyle w:val="Heading2"/>
        <w:spacing w:after="140" w:before="300"/>
      </w:pPr>
      <w:r>
        <w:rPr>
          <w:b/>
          <w:bCs/>
          <w:color w:val="0F6E5E"/>
          <w:sz w:val="24"/>
          <w:szCs w:val="24"/>
        </w:rPr>
        <w:t xml:space="preserve">9.1 What Gemini Receives</w:t>
      </w:r>
    </w:p>
    <w:p>
      <w:pPr>
        <w:spacing w:after="160" w:line="300"/>
        <w:jc w:val="both"/>
      </w:pPr>
      <w:r>
        <w:rPr>
          <w:color w:val="262626"/>
          <w:sz w:val="22"/>
          <w:szCs w:val="22"/>
        </w:rPr>
        <w:t xml:space="preserve">Gemini is given only the structured evidence object produced by the investigation engine — invoice amount, PO amount, vendor and its historical average, approver and approval duration, and the flagged/clear status of each investigation step. It is not given the raw dataset and cannot look anything up independently.</w:t>
      </w:r>
    </w:p>
    <w:p>
      <w:pPr>
        <w:pStyle w:val="Heading2"/>
        <w:spacing w:after="140" w:before="300"/>
      </w:pPr>
      <w:r>
        <w:rPr>
          <w:b/>
          <w:bCs/>
          <w:color w:val="0F6E5E"/>
          <w:sz w:val="24"/>
          <w:szCs w:val="24"/>
        </w:rPr>
        <w:t xml:space="preserve">9.2 Grounding Instructions</w:t>
      </w:r>
    </w:p>
    <w:p>
      <w:pPr>
        <w:spacing w:after="160" w:line="300"/>
        <w:jc w:val="both"/>
      </w:pPr>
      <w:r>
        <w:rPr>
          <w:color w:val="262626"/>
          <w:sz w:val="22"/>
          <w:szCs w:val="22"/>
        </w:rPr>
        <w:t xml:space="preserve">The prompt explicitly instructs Gemini to:</w:t>
      </w:r>
    </w:p>
    <w:p>
      <w:pPr>
        <w:pStyle w:val="ListParagraph"/>
        <w:numPr>
          <w:ilvl w:val="0"/>
          <w:numId w:val="2"/>
        </w:numPr>
        <w:spacing w:after="90"/>
      </w:pPr>
      <w:r>
        <w:rPr>
          <w:color w:val="262626"/>
          <w:sz w:val="22"/>
          <w:szCs w:val="22"/>
        </w:rPr>
        <w:t xml:space="preserve">use only the supplied evidence;</w:t>
      </w:r>
    </w:p>
    <w:p>
      <w:pPr>
        <w:pStyle w:val="ListParagraph"/>
        <w:numPr>
          <w:ilvl w:val="0"/>
          <w:numId w:val="2"/>
        </w:numPr>
        <w:spacing w:after="90"/>
      </w:pPr>
      <w:r>
        <w:rPr>
          <w:color w:val="262626"/>
          <w:sz w:val="22"/>
          <w:szCs w:val="22"/>
        </w:rPr>
        <w:t xml:space="preserve">never invent financial facts, vendors, transactions, or amounts;</w:t>
      </w:r>
    </w:p>
    <w:p>
      <w:pPr>
        <w:pStyle w:val="ListParagraph"/>
        <w:numPr>
          <w:ilvl w:val="0"/>
          <w:numId w:val="2"/>
        </w:numPr>
        <w:spacing w:after="90"/>
      </w:pPr>
      <w:r>
        <w:rPr>
          <w:color w:val="262626"/>
          <w:sz w:val="22"/>
          <w:szCs w:val="22"/>
        </w:rPr>
        <w:t xml:space="preserve">clearly distinguish stated facts from its own conclusions;</w:t>
      </w:r>
    </w:p>
    <w:p>
      <w:pPr>
        <w:pStyle w:val="ListParagraph"/>
        <w:numPr>
          <w:ilvl w:val="0"/>
          <w:numId w:val="2"/>
        </w:numPr>
        <w:spacing w:after="90"/>
      </w:pPr>
      <w:r>
        <w:rPr>
          <w:color w:val="262626"/>
          <w:sz w:val="22"/>
          <w:szCs w:val="22"/>
        </w:rPr>
        <w:t xml:space="preserve">state plainly when the available evidence is insufficient; and</w:t>
      </w:r>
    </w:p>
    <w:p>
      <w:pPr>
        <w:pStyle w:val="ListParagraph"/>
        <w:numPr>
          <w:ilvl w:val="0"/>
          <w:numId w:val="2"/>
        </w:numPr>
        <w:spacing w:after="90"/>
      </w:pPr>
      <w:r>
        <w:rPr>
          <w:color w:val="262626"/>
          <w:sz w:val="22"/>
          <w:szCs w:val="22"/>
        </w:rPr>
        <w:t xml:space="preserve">always provide one practical, concrete next action for an analyst.</w:t>
      </w:r>
    </w:p>
    <w:p>
      <w:pPr>
        <w:pStyle w:val="Heading2"/>
        <w:spacing w:after="140" w:before="300"/>
      </w:pPr>
      <w:r>
        <w:rPr>
          <w:b/>
          <w:bCs/>
          <w:color w:val="0F6E5E"/>
          <w:sz w:val="24"/>
          <w:szCs w:val="24"/>
        </w:rPr>
        <w:t xml:space="preserve">9.3 Output Structure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Section</w:t>
            </w:r>
          </w:p>
        </w:tc>
        <w:tc>
          <w:tcPr>
            <w:tcW w:type="dxa" w:w="67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Content</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Risk Assessment</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 short explanation of the concern.</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Key Evidence</w:t>
            </w:r>
          </w:p>
        </w:tc>
        <w:tc>
          <w:tcPr>
            <w:tcW w:type="dxa" w:w="6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The strongest supporting evidence for the flag.</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Why It Matters</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Why the combination of signals deserves attention.</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Recommended Action</w:t>
            </w:r>
          </w:p>
        </w:tc>
        <w:tc>
          <w:tcPr>
            <w:tcW w:type="dxa" w:w="6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One practical next step for an analyst.</w:t>
            </w:r>
          </w:p>
        </w:tc>
      </w:tr>
    </w:tbl>
    <w:p>
      <w:pPr>
        <w:spacing w:after="120"/>
      </w:pPr>
    </w:p>
    <w:p>
      <w:pPr>
        <w:spacing w:after="160" w:line="300"/>
        <w:jc w:val="both"/>
      </w:pPr>
      <w:r>
        <w:rPr>
          <w:color w:val="262626"/>
          <w:sz w:val="22"/>
          <w:szCs w:val="22"/>
        </w:rPr>
        <w:t xml:space="preserve">This design — rules generate evidence, and Gemini narrates it — is the opposite of asking an LLM to “detect fraud” on its own, and is exactly the safeguard the research in Section 1.2 suggests is needed: it keeps the actual decision logic transparent and auditable, and uses the language model for what it is good at, communication, rather than for fact-finding.</w:t>
      </w:r>
    </w:p>
    <w:p>
      <w:r>
        <w:br w:type="page"/>
      </w:r>
    </w:p>
    <w:p>
      <w:pPr>
        <w:pStyle w:val="Heading1"/>
        <w:pBdr>
          <w:bottom w:val="single" w:color="1F3864" w:sz="12" w:space="4"/>
        </w:pBdr>
        <w:spacing w:after="200" w:before="400"/>
      </w:pPr>
      <w:r>
        <w:rPr>
          <w:b/>
          <w:bCs/>
          <w:color w:val="1F3864"/>
          <w:sz w:val="30"/>
          <w:szCs w:val="30"/>
        </w:rPr>
        <w:t xml:space="preserve">10. Cash Flow Forecasting</w:t>
      </w:r>
    </w:p>
    <w:p>
      <w:pPr>
        <w:spacing w:after="160" w:line="300"/>
        <w:jc w:val="both"/>
      </w:pPr>
      <w:r>
        <w:rPr>
          <w:color w:val="262626"/>
          <w:sz w:val="22"/>
          <w:szCs w:val="22"/>
        </w:rPr>
        <w:t xml:space="preserve">FinSight also produces a short-term cash flow forecast, built with the same emphasis on transparency as the detection layer. </w:t>
      </w:r>
      <w:r>
        <w:rPr>
          <w:b/>
          <w:bCs/>
          <w:color w:val="262626"/>
          <w:sz w:val="22"/>
          <w:szCs w:val="22"/>
        </w:rPr>
        <w:t xml:space="preserve">No AI is used for the numerical forecast.</w:t>
      </w:r>
      <w:r>
        <w:rPr>
          <w:color w:val="262626"/>
          <w:sz w:val="22"/>
          <w:szCs w:val="22"/>
        </w:rPr>
        <w:t xml:space="preserve"> It is a plain statistical calculation, deliberately kept simple and auditable.</w:t>
      </w:r>
    </w:p>
    <w:p>
      <w:pPr>
        <w:pStyle w:val="Heading2"/>
        <w:spacing w:after="140" w:before="300"/>
      </w:pPr>
      <w:r>
        <w:rPr>
          <w:b/>
          <w:bCs/>
          <w:color w:val="0F6E5E"/>
          <w:sz w:val="24"/>
          <w:szCs w:val="24"/>
        </w:rPr>
        <w:t xml:space="preserve">10.1 Method: Three-Month Moving Average</w:t>
      </w:r>
    </w:p>
    <w:p>
      <w:pPr>
        <w:pStyle w:val="ListParagraph"/>
        <w:numPr>
          <w:ilvl w:val="0"/>
          <w:numId w:val="2"/>
        </w:numPr>
        <w:spacing w:after="90"/>
      </w:pPr>
      <w:r>
        <w:rPr>
          <w:color w:val="262626"/>
          <w:sz w:val="22"/>
          <w:szCs w:val="22"/>
        </w:rPr>
        <w:t xml:space="preserve">Group all transactions by calendar month.</w:t>
      </w:r>
    </w:p>
    <w:p>
      <w:pPr>
        <w:pStyle w:val="ListParagraph"/>
        <w:numPr>
          <w:ilvl w:val="0"/>
          <w:numId w:val="2"/>
        </w:numPr>
        <w:spacing w:after="90"/>
      </w:pPr>
      <w:r>
        <w:rPr>
          <w:color w:val="262626"/>
          <w:sz w:val="22"/>
          <w:szCs w:val="22"/>
        </w:rPr>
        <w:t xml:space="preserve">Calculate total transaction outflow for each month.</w:t>
      </w:r>
    </w:p>
    <w:p>
      <w:pPr>
        <w:pStyle w:val="ListParagraph"/>
        <w:numPr>
          <w:ilvl w:val="0"/>
          <w:numId w:val="2"/>
        </w:numPr>
        <w:spacing w:after="90"/>
      </w:pPr>
      <w:r>
        <w:rPr>
          <w:color w:val="262626"/>
          <w:sz w:val="22"/>
          <w:szCs w:val="22"/>
        </w:rPr>
        <w:t xml:space="preserve">Take the three most recent months.</w:t>
      </w:r>
    </w:p>
    <w:p>
      <w:pPr>
        <w:pStyle w:val="ListParagraph"/>
        <w:numPr>
          <w:ilvl w:val="0"/>
          <w:numId w:val="2"/>
        </w:numPr>
        <w:spacing w:after="90"/>
      </w:pPr>
      <w:r>
        <w:rPr>
          <w:color w:val="262626"/>
          <w:sz w:val="22"/>
          <w:szCs w:val="22"/>
        </w:rPr>
        <w:t xml:space="preserve">Average those three monthly totals.</w:t>
      </w:r>
    </w:p>
    <w:p>
      <w:pPr>
        <w:pStyle w:val="ListParagraph"/>
        <w:numPr>
          <w:ilvl w:val="0"/>
          <w:numId w:val="2"/>
        </w:numPr>
        <w:spacing w:after="90"/>
      </w:pPr>
      <w:r>
        <w:rPr>
          <w:color w:val="262626"/>
          <w:sz w:val="22"/>
          <w:szCs w:val="22"/>
        </w:rPr>
        <w:t xml:space="preserve">Use that average as the forecast for each of the next three months.</w:t>
      </w:r>
    </w:p>
    <w:p>
      <w:pPr>
        <w:pStyle w:val="Heading2"/>
        <w:spacing w:after="140" w:before="300"/>
      </w:pPr>
      <w:r>
        <w:rPr>
          <w:b/>
          <w:bCs/>
          <w:color w:val="0F6E5E"/>
          <w:sz w:val="24"/>
          <w:szCs w:val="24"/>
        </w:rPr>
        <w:t xml:space="preserve">10.2 Observed Figures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Metric</w:t>
            </w:r>
          </w:p>
        </w:tc>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Value</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Total observed transaction outflow</w:t>
            </w:r>
          </w:p>
        </w:tc>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₹3,09,91,505 (≈ ₹3.10 crore)</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Historical monthly average</w:t>
            </w:r>
          </w:p>
        </w:tc>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₹34,43,501 (≈ ₹34.44 lakh)</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Latest observed month (Sep 2025)</w:t>
            </w:r>
          </w:p>
        </w:tc>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₹34,43,147 (≈ ₹34.43 lakh)</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Forecast monthly outflow (next 3 months)</w:t>
            </w:r>
          </w:p>
        </w:tc>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₹34,12,416 (≈ ₹34.12 lakh / month)</w:t>
            </w:r>
          </w:p>
        </w:tc>
      </w:tr>
    </w:tbl>
    <w:p>
      <w:pPr>
        <w:spacing w:after="120"/>
      </w:pPr>
    </w:p>
    <w:p>
      <w:pPr>
        <w:pStyle w:val="Heading2"/>
        <w:spacing w:after="140" w:before="300"/>
      </w:pPr>
      <w:r>
        <w:rPr>
          <w:b/>
          <w:bCs/>
          <w:color w:val="0F6E5E"/>
          <w:sz w:val="24"/>
          <w:szCs w:val="24"/>
        </w:rPr>
        <w:t xml:space="preserve">10.3 An Important Scope Limitation</w:t>
      </w:r>
    </w:p>
    <w:tbl>
      <w:tblPr>
        <w:tblW w:type="dxa" w:w="9350"/>
        <w:tblBorders>
          <w:top w:val="single" w:color="B45309" w:sz="4"/>
          <w:left w:val="single" w:color="B45309" w:sz="24"/>
          <w:bottom w:val="single" w:color="B45309" w:sz="4"/>
          <w:right w:val="single" w:color="B45309" w:sz="4"/>
          <w:insideH w:val="single" w:color="auto" w:sz="4"/>
          <w:insideV w:val="single" w:color="auto" w:sz="4"/>
        </w:tblBorders>
      </w:tblPr>
      <w:tblGrid>
        <w:gridCol w:w="9350"/>
      </w:tblGrid>
      <w:tr>
        <w:tc>
          <w:tcPr>
            <w:tcW w:type="dxa" w:w="9350"/>
            <w:shd w:fill="FCEFDC" w:val="clear"/>
            <w:tcMar>
              <w:top w:type="dxa" w:w="140"/>
              <w:left w:type="dxa" w:w="200"/>
              <w:bottom w:type="dxa" w:w="140"/>
              <w:right w:type="dxa" w:w="200"/>
            </w:tcMar>
          </w:tcPr>
          <w:p>
            <w:pPr>
              <w:spacing w:after="60"/>
            </w:pPr>
            <w:r>
              <w:rPr>
                <w:b/>
                <w:bCs/>
                <w:color w:val="B45309"/>
                <w:sz w:val="21"/>
                <w:szCs w:val="21"/>
              </w:rPr>
              <w:t xml:space="preserve">NO INFLOW DATA</w:t>
            </w:r>
          </w:p>
          <w:p>
            <w:pPr>
              <w:spacing w:after="0"/>
            </w:pPr>
            <w:r>
              <w:rPr>
                <w:color w:val="262626"/>
                <w:sz w:val="21"/>
                <w:szCs w:val="21"/>
              </w:rPr>
              <w:t xml:space="preserve">The dataset records transaction amounts and dates only — it does not separate inflow from outflow. FinSight therefore treats transaction amounts explicitly as observed outflow, and does not fabricate an inflow figure. As a direct consequence, current account balance, total inflow, and true net cash flow cannot be calculated from this dataset, and FinSight does not attempt to estimate them.</w:t>
            </w:r>
          </w:p>
        </w:tc>
      </w:tr>
    </w:tbl>
    <w:p>
      <w:r>
        <w:br w:type="page"/>
      </w:r>
    </w:p>
    <w:p>
      <w:pPr>
        <w:pStyle w:val="Heading1"/>
        <w:pBdr>
          <w:bottom w:val="single" w:color="1F3864" w:sz="12" w:space="4"/>
        </w:pBdr>
        <w:spacing w:after="200" w:before="400"/>
      </w:pPr>
      <w:r>
        <w:rPr>
          <w:b/>
          <w:bCs/>
          <w:color w:val="1F3864"/>
          <w:sz w:val="30"/>
          <w:szCs w:val="30"/>
        </w:rPr>
        <w:t xml:space="preserve">11. Financial Intelligence Dashboard</w:t>
      </w:r>
    </w:p>
    <w:p>
      <w:pPr>
        <w:spacing w:after="160" w:line="300"/>
        <w:jc w:val="both"/>
      </w:pPr>
      <w:r>
        <w:rPr>
          <w:color w:val="262626"/>
          <w:sz w:val="22"/>
          <w:szCs w:val="22"/>
        </w:rPr>
        <w:t xml:space="preserve">All of the above is surfaced through a single React + Vite dashboard, organized into six pages.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tblHeader/>
        </w:trPr>
        <w:tc>
          <w:tcPr>
            <w:tcW w:type="dxa" w:w="2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Page</w:t>
            </w:r>
          </w:p>
        </w:tc>
        <w:tc>
          <w:tcPr>
            <w:tcW w:type="dxa" w:w="72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What It Shows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Overview</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Total flagged cases, risk distribution, flagged transaction value, recent cases, and summary charts.</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Transactions</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All flagged transactions, with search, risk filtering, sorting by amount, and anomaly reasons.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Investigations</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Per-case risk classification, investigation steps, evidence chain, and the Gemini-generated explanation.</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Cash Flow</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Total and latest-month outflow, historical monthly average, forecast outflow, and outflow/forecast charts.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AI Assistant</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An interface to select a flagged case, view its evidence trail, and pose a question about that case.</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Settings</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Application configuration.</w:t>
            </w:r>
          </w:p>
        </w:tc>
      </w:tr>
    </w:tbl>
    <w:p>
      <w:pPr>
        <w:pStyle w:val="Heading2"/>
        <w:spacing w:after="140" w:before="300"/>
      </w:pPr>
      <w:r>
        <w:rPr>
          <w:b/>
          <w:bCs/>
          <w:color w:val="0F6E5E"/>
          <w:sz w:val="24"/>
          <w:szCs w:val="24"/>
        </w:rPr>
        <w:t xml:space="preserve">11.1 The AI Assistant — What It Actually Does</w:t>
      </w:r>
    </w:p>
    <w:p>
      <w:pPr>
        <w:spacing w:after="160" w:line="300"/>
        <w:jc w:val="both"/>
      </w:pPr>
      <w:r>
        <w:rPr>
          <w:color w:val="262626"/>
          <w:sz w:val="22"/>
          <w:szCs w:val="22"/>
        </w:rPr>
        <w:t xml:space="preserve">The AI Assistant page lets an analyst select a flagged invoice, view its risk level and amount, and enter a question, with example prompts such as “Why is this invoice high risk?” or “What evidence supports this case?”</w:t>
      </w:r>
    </w:p>
    <w:tbl>
      <w:tblPr>
        <w:tblW w:type="dxa" w:w="9350"/>
        <w:tblBorders>
          <w:top w:val="single" w:color="B45309" w:sz="4"/>
          <w:left w:val="single" w:color="B45309" w:sz="24"/>
          <w:bottom w:val="single" w:color="B45309" w:sz="4"/>
          <w:right w:val="single" w:color="B45309" w:sz="4"/>
          <w:insideH w:val="single" w:color="auto" w:sz="4"/>
          <w:insideV w:val="single" w:color="auto" w:sz="4"/>
        </w:tblBorders>
      </w:tblPr>
      <w:tblGrid>
        <w:gridCol w:w="9350"/>
      </w:tblGrid>
      <w:tr>
        <w:tc>
          <w:tcPr>
            <w:tcW w:type="dxa" w:w="9350"/>
            <w:shd w:fill="FCEFDC" w:val="clear"/>
            <w:tcMar>
              <w:top w:type="dxa" w:w="140"/>
              <w:left w:type="dxa" w:w="200"/>
              <w:bottom w:type="dxa" w:w="140"/>
              <w:right w:type="dxa" w:w="200"/>
            </w:tcMar>
          </w:tcPr>
          <w:p>
            <w:pPr>
              <w:spacing w:after="60"/>
            </w:pPr>
            <w:r>
              <w:rPr>
                <w:b/>
                <w:bCs/>
                <w:color w:val="B45309"/>
                <w:sz w:val="21"/>
                <w:szCs w:val="21"/>
              </w:rPr>
              <w:t xml:space="preserve">SCOPE NOTE</w:t>
            </w:r>
          </w:p>
          <w:p>
            <w:pPr>
              <w:spacing w:after="0"/>
            </w:pPr>
            <w:r>
              <w:rPr>
                <w:color w:val="262626"/>
                <w:sz w:val="21"/>
                <w:szCs w:val="21"/>
              </w:rPr>
              <w:t xml:space="preserve">In the current prototype, a custom question is not sent to Gemini as a fresh, independent reasoning request. The interface retrieves the existing investigation narrative for the selected invoice and displays the analyst's question alongside it. It is accurately described as an AI-assisted investigation interface for selected flagged cases, not as a general-purpose conversational assistant that can answer arbitrary questions across the full dataset.</w:t>
            </w:r>
          </w:p>
        </w:tc>
      </w:tr>
    </w:tbl>
    <w:p>
      <w:r>
        <w:br w:type="page"/>
      </w:r>
    </w:p>
    <w:p>
      <w:pPr>
        <w:pStyle w:val="Heading1"/>
        <w:pBdr>
          <w:bottom w:val="single" w:color="1F3864" w:sz="12" w:space="4"/>
        </w:pBdr>
        <w:spacing w:after="200" w:before="400"/>
      </w:pPr>
      <w:r>
        <w:rPr>
          <w:b/>
          <w:bCs/>
          <w:color w:val="1F3864"/>
          <w:sz w:val="30"/>
          <w:szCs w:val="30"/>
        </w:rPr>
        <w:t xml:space="preserve">12. Technology Stack</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71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Technologies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Frontend</w:t>
            </w:r>
          </w:p>
        </w:tc>
        <w:tc>
          <w:tcPr>
            <w:tcW w:type="dxa" w:w="7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React 19, Vite, Tailwind CSS, React Router, Recharts, Lucide React</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Backend</w:t>
            </w:r>
          </w:p>
        </w:tc>
        <w:tc>
          <w:tcPr>
            <w:tcW w:type="dxa" w:w="71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Python, FastAPI, Uvicorn, Pandas, NumPy, python-dotenv</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AI / Reasoning</w:t>
            </w:r>
          </w:p>
        </w:tc>
        <w:tc>
          <w:tcPr>
            <w:tcW w:type="dxa" w:w="7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Google Gemini API (google-genai)</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Data Processing</w:t>
            </w:r>
          </w:p>
        </w:tc>
        <w:tc>
          <w:tcPr>
            <w:tcW w:type="dxa" w:w="71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Pandas; CSV-based linked financial datasets</w:t>
            </w:r>
          </w:p>
        </w:tc>
      </w:tr>
    </w:tbl>
    <w:p>
      <w:pPr>
        <w:pStyle w:val="Heading2"/>
        <w:spacing w:after="140" w:before="300"/>
      </w:pPr>
      <w:r>
        <w:rPr>
          <w:b/>
          <w:bCs/>
          <w:color w:val="0F6E5E"/>
          <w:sz w:val="24"/>
          <w:szCs w:val="24"/>
        </w:rPr>
        <w:t xml:space="preserve">12.1 API Architecture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Endpoint</w:t>
            </w:r>
          </w:p>
        </w:tc>
        <w:tc>
          <w:tcPr>
            <w:tcW w:type="dxa" w:w="67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Returns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/anomalies</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Number of anomalies, invoice ID, vendor, amount, risk level, detection reasons.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/trail/{invoice_id}</w:t>
            </w:r>
          </w:p>
        </w:tc>
        <w:tc>
          <w:tcPr>
            <w:tcW w:type="dxa" w:w="6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Investigation trail, evidence steps, and the Gemini-generated explanation.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/cashflow</w:t>
            </w:r>
          </w:p>
        </w:tc>
        <w:tc>
          <w:tcPr>
            <w:tcW w:type="dxa" w:w="6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Historical monthly outflow, forecast, and summary statistics.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w:t>
            </w:r>
          </w:p>
        </w:tc>
        <w:tc>
          <w:tcPr>
            <w:tcW w:type="dxa" w:w="6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Basic backend health/status endpoint.</w:t>
            </w:r>
          </w:p>
        </w:tc>
      </w:tr>
    </w:tbl>
    <w:p>
      <w:r>
        <w:br w:type="page"/>
      </w:r>
    </w:p>
    <w:p>
      <w:pPr>
        <w:pStyle w:val="Heading1"/>
        <w:pBdr>
          <w:bottom w:val="single" w:color="1F3864" w:sz="12" w:space="4"/>
        </w:pBdr>
        <w:spacing w:after="200" w:before="400"/>
      </w:pPr>
      <w:r>
        <w:rPr>
          <w:b/>
          <w:bCs/>
          <w:color w:val="1F3864"/>
          <w:sz w:val="30"/>
          <w:szCs w:val="30"/>
        </w:rPr>
        <w:t xml:space="preserve">13. Results</w:t>
      </w:r>
    </w:p>
    <w:p>
      <w:pPr>
        <w:spacing w:after="160" w:line="300"/>
        <w:jc w:val="both"/>
      </w:pPr>
      <w:r>
        <w:rPr>
          <w:color w:val="262626"/>
          <w:sz w:val="22"/>
          <w:szCs w:val="22"/>
        </w:rPr>
        <w:t xml:space="preserve">Running FinSight's detection logic against the demonstration dataset produces four flagged invoices out of 184 — one High-risk case and three Medium-risk cases, with zero Low-risk flags.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400"/>
        <w:gridCol w:w="1700"/>
        <w:gridCol w:w="4750"/>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Invoice</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17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Amount</w:t>
            </w:r>
          </w:p>
        </w:tc>
        <w:tc>
          <w:tcPr>
            <w:tcW w:type="dxa" w:w="47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Signals Triggered</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INV003</w:t>
            </w:r>
          </w:p>
        </w:tc>
        <w:tc>
          <w:tcPr>
            <w:tcW w:type="dxa" w:w="1400"/>
            <w:tcBorders>
              <w:top w:val="single" w:color="BFBFBF" w:sz="4"/>
              <w:left w:val="single" w:color="BFBFBF" w:sz="4"/>
              <w:bottom w:val="single" w:color="BFBFBF" w:sz="4"/>
              <w:right w:val="single" w:color="BFBFBF" w:sz="4"/>
            </w:tcBorders>
            <w:shd w:fill="F8E6E6" w:val="clear"/>
            <w:tcMar>
              <w:top w:type="dxa" w:w="90"/>
              <w:left w:type="dxa" w:w="120"/>
              <w:bottom w:type="dxa" w:w="90"/>
              <w:right w:type="dxa" w:w="120"/>
            </w:tcMar>
            <w:vAlign w:val="center"/>
          </w:tcPr>
          <w:p>
            <w:r>
              <w:rPr>
                <w:b/>
                <w:bCs/>
                <w:color w:val="9C2B2B"/>
                <w:sz w:val="20"/>
                <w:szCs w:val="20"/>
              </w:rPr>
              <w:t xml:space="preserve">HIGH</w:t>
            </w:r>
          </w:p>
        </w:tc>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₹5,69,227</w:t>
            </w:r>
          </w:p>
        </w:tc>
        <w:tc>
          <w:tcPr>
            <w:tcW w:type="dxa" w:w="4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PO mismatch + Vendor deviation + Fast approval</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INV021</w:t>
            </w:r>
          </w:p>
        </w:tc>
        <w:tc>
          <w:tcPr>
            <w:tcW w:type="dxa" w:w="1400"/>
            <w:tcBorders>
              <w:top w:val="single" w:color="BFBFBF" w:sz="4"/>
              <w:left w:val="single" w:color="BFBFBF" w:sz="4"/>
              <w:bottom w:val="single" w:color="BFBFBF" w:sz="4"/>
              <w:right w:val="single" w:color="BFBFBF" w:sz="4"/>
            </w:tcBorders>
            <w:shd w:fill="FCEFDC" w:val="clear"/>
            <w:tcMar>
              <w:top w:type="dxa" w:w="90"/>
              <w:left w:type="dxa" w:w="120"/>
              <w:bottom w:type="dxa" w:w="90"/>
              <w:right w:type="dxa" w:w="120"/>
            </w:tcMar>
            <w:vAlign w:val="center"/>
          </w:tcPr>
          <w:p>
            <w:r>
              <w:rPr>
                <w:b/>
                <w:bCs/>
                <w:color w:val="B45309"/>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₹78,571</w:t>
            </w:r>
          </w:p>
        </w:tc>
        <w:tc>
          <w:tcPr>
            <w:tcW w:type="dxa" w:w="4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Fast approval + Duplicate</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INV022</w:t>
            </w:r>
          </w:p>
        </w:tc>
        <w:tc>
          <w:tcPr>
            <w:tcW w:type="dxa" w:w="1400"/>
            <w:tcBorders>
              <w:top w:val="single" w:color="BFBFBF" w:sz="4"/>
              <w:left w:val="single" w:color="BFBFBF" w:sz="4"/>
              <w:bottom w:val="single" w:color="BFBFBF" w:sz="4"/>
              <w:right w:val="single" w:color="BFBFBF" w:sz="4"/>
            </w:tcBorders>
            <w:shd w:fill="FCEFDC" w:val="clear"/>
            <w:tcMar>
              <w:top w:type="dxa" w:w="90"/>
              <w:left w:type="dxa" w:w="120"/>
              <w:bottom w:type="dxa" w:w="90"/>
              <w:right w:type="dxa" w:w="120"/>
            </w:tcMar>
            <w:vAlign w:val="center"/>
          </w:tcPr>
          <w:p>
            <w:r>
              <w:rPr>
                <w:b/>
                <w:bCs/>
                <w:color w:val="B45309"/>
                <w:sz w:val="20"/>
                <w:szCs w:val="20"/>
              </w:rPr>
              <w:t xml:space="preserve">MEDIUM</w:t>
            </w:r>
          </w:p>
        </w:tc>
        <w:tc>
          <w:tcPr>
            <w:tcW w:type="dxa" w:w="1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₹78,571</w:t>
            </w:r>
          </w:p>
        </w:tc>
        <w:tc>
          <w:tcPr>
            <w:tcW w:type="dxa" w:w="47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Fast approval + Duplicate</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INV045</w:t>
            </w:r>
          </w:p>
        </w:tc>
        <w:tc>
          <w:tcPr>
            <w:tcW w:type="dxa" w:w="1400"/>
            <w:tcBorders>
              <w:top w:val="single" w:color="BFBFBF" w:sz="4"/>
              <w:left w:val="single" w:color="BFBFBF" w:sz="4"/>
              <w:bottom w:val="single" w:color="BFBFBF" w:sz="4"/>
              <w:right w:val="single" w:color="BFBFBF" w:sz="4"/>
            </w:tcBorders>
            <w:shd w:fill="FCEFDC" w:val="clear"/>
            <w:tcMar>
              <w:top w:type="dxa" w:w="90"/>
              <w:left w:type="dxa" w:w="120"/>
              <w:bottom w:type="dxa" w:w="90"/>
              <w:right w:type="dxa" w:w="120"/>
            </w:tcMar>
            <w:vAlign w:val="center"/>
          </w:tcPr>
          <w:p>
            <w:r>
              <w:rPr>
                <w:b/>
                <w:bCs/>
                <w:color w:val="B45309"/>
                <w:sz w:val="20"/>
                <w:szCs w:val="20"/>
              </w:rPr>
              <w:t xml:space="preserve">MEDIUM</w:t>
            </w:r>
          </w:p>
        </w:tc>
        <w:tc>
          <w:tcPr>
            <w:tcW w:type="dxa" w:w="1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₹2,59,552</w:t>
            </w:r>
          </w:p>
        </w:tc>
        <w:tc>
          <w:tcPr>
            <w:tcW w:type="dxa" w:w="47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Missing PO + Vendor deviation</w:t>
            </w:r>
          </w:p>
        </w:tc>
      </w:tr>
    </w:tbl>
    <w:p>
      <w:pPr>
        <w:spacing w:after="120"/>
      </w:pPr>
    </w:p>
    <w:p>
      <w:pPr>
        <w:spacing w:after="160" w:line="300"/>
        <w:jc w:val="both"/>
      </w:pPr>
      <w:r>
        <w:rPr>
          <w:b/>
          <w:bCs/>
          <w:color w:val="262626"/>
          <w:sz w:val="22"/>
          <w:szCs w:val="22"/>
        </w:rPr>
        <w:t xml:space="preserve">Total flagged invoice value: </w:t>
      </w:r>
      <w:r>
        <w:rPr>
          <w:color w:val="262626"/>
          <w:sz w:val="22"/>
          <w:szCs w:val="22"/>
        </w:rPr>
        <w:t xml:space="preserve">₹9,85,921 across the four cases.</w:t>
      </w:r>
    </w:p>
    <w:p>
      <w:r>
        <w:br w:type="page"/>
      </w:r>
    </w:p>
    <w:p>
      <w:pPr>
        <w:pStyle w:val="Heading1"/>
        <w:pBdr>
          <w:bottom w:val="single" w:color="1F3864" w:sz="12" w:space="4"/>
        </w:pBdr>
        <w:spacing w:after="200" w:before="400"/>
      </w:pPr>
      <w:r>
        <w:rPr>
          <w:b/>
          <w:bCs/>
          <w:color w:val="1F3864"/>
          <w:sz w:val="30"/>
          <w:szCs w:val="30"/>
        </w:rPr>
        <w:t xml:space="preserve">14. Case Study — INV003 (High Risk)</w:t>
      </w:r>
    </w:p>
    <w:p>
      <w:pPr>
        <w:spacing w:after="160" w:line="300"/>
        <w:jc w:val="both"/>
      </w:pPr>
      <w:r>
        <w:rPr>
          <w:color w:val="262626"/>
          <w:sz w:val="22"/>
          <w:szCs w:val="22"/>
        </w:rPr>
        <w:t xml:space="preserve">INV003 is FinSight's clearest demonstration of investigation over detection, and is used here as the primary worked example.</w:t>
      </w:r>
    </w:p>
    <w:p>
      <w:pPr>
        <w:pStyle w:val="Heading2"/>
        <w:spacing w:after="140" w:before="300"/>
      </w:pPr>
      <w:r>
        <w:rPr>
          <w:b/>
          <w:bCs/>
          <w:color w:val="0F6E5E"/>
          <w:sz w:val="24"/>
          <w:szCs w:val="24"/>
        </w:rPr>
        <w:t xml:space="preserve">14.1 Case Summary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Field</w:t>
            </w:r>
          </w:p>
        </w:tc>
        <w:tc>
          <w:tcPr>
            <w:tcW w:type="dxa" w:w="61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Value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w:t>
            </w:r>
          </w:p>
        </w:tc>
        <w:tc>
          <w:tcPr>
            <w:tcW w:type="dxa" w:w="6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INV003</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Amount</w:t>
            </w:r>
          </w:p>
        </w:tc>
        <w:tc>
          <w:tcPr>
            <w:tcW w:type="dxa" w:w="61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₹5,69,227</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w:t>
            </w:r>
          </w:p>
        </w:tc>
        <w:tc>
          <w:tcPr>
            <w:tcW w:type="dxa" w:w="6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ABC Ltd (V001)</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Linked PO</w:t>
            </w:r>
          </w:p>
        </w:tc>
        <w:tc>
          <w:tcPr>
            <w:tcW w:type="dxa" w:w="61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PO039 — ₹2,47,490</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 historical average</w:t>
            </w:r>
          </w:p>
        </w:tc>
        <w:tc>
          <w:tcPr>
            <w:tcW w:type="dxa" w:w="6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₹2,47,621</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Approver</w:t>
            </w:r>
          </w:p>
        </w:tc>
        <w:tc>
          <w:tcPr>
            <w:tcW w:type="dxa" w:w="61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EMP002</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Approval time</w:t>
            </w:r>
          </w:p>
        </w:tc>
        <w:tc>
          <w:tcPr>
            <w:tcW w:type="dxa" w:w="61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2 minutes</w:t>
            </w:r>
          </w:p>
        </w:tc>
      </w:tr>
    </w:tbl>
    <w:p>
      <w:pPr>
        <w:spacing w:after="120"/>
      </w:pPr>
    </w:p>
    <w:p>
      <w:pPr>
        <w:pStyle w:val="Heading2"/>
        <w:spacing w:after="140" w:before="300"/>
      </w:pPr>
      <w:r>
        <w:rPr>
          <w:b/>
          <w:bCs/>
          <w:color w:val="0F6E5E"/>
          <w:sz w:val="24"/>
          <w:szCs w:val="24"/>
        </w:rPr>
        <w:t xml:space="preserve">14.2 Investigation Trail</w:t>
      </w:r>
    </w:p>
    <w:p>
      <w:pPr>
        <w:pStyle w:val="Heading3"/>
        <w:spacing w:after="100" w:before="200"/>
      </w:pPr>
      <w:r>
        <w:rPr>
          <w:b/>
          <w:bCs/>
          <w:i/>
          <w:iCs/>
          <w:color w:val="1F3864"/>
          <w:sz w:val="21"/>
          <w:szCs w:val="21"/>
        </w:rPr>
        <w:t xml:space="preserve">Step 1 — Invoice Amount</w:t>
      </w:r>
    </w:p>
    <w:p>
      <w:pPr>
        <w:spacing w:after="160" w:line="300"/>
        <w:jc w:val="both"/>
      </w:pPr>
      <w:r>
        <w:rPr>
          <w:color w:val="262626"/>
          <w:sz w:val="22"/>
          <w:szCs w:val="22"/>
        </w:rPr>
        <w:t xml:space="preserve">The system identifies the transaction under investigation: INV003, ₹5,69,227.</w:t>
      </w:r>
    </w:p>
    <w:p>
      <w:pPr>
        <w:pStyle w:val="Heading3"/>
        <w:spacing w:after="100" w:before="200"/>
      </w:pPr>
      <w:r>
        <w:rPr>
          <w:b/>
          <w:bCs/>
          <w:i/>
          <w:iCs/>
          <w:color w:val="1F3864"/>
          <w:sz w:val="21"/>
          <w:szCs w:val="21"/>
        </w:rPr>
        <w:t xml:space="preserve">Step 2 — Purchase Order</w:t>
      </w:r>
    </w:p>
    <w:p>
      <w:pPr>
        <w:spacing w:after="160" w:line="300"/>
        <w:jc w:val="both"/>
      </w:pPr>
      <w:r>
        <w:rPr>
          <w:color w:val="262626"/>
          <w:sz w:val="22"/>
          <w:szCs w:val="22"/>
        </w:rPr>
        <w:t xml:space="preserve">PO039 is linked to this invoice at an amount of ₹2,47,490. The invoice is approximately 130% above the PO amount, which triggers the PO Mismatch rule.</w:t>
      </w:r>
    </w:p>
    <w:p>
      <w:pPr>
        <w:pStyle w:val="Heading3"/>
        <w:spacing w:after="100" w:before="200"/>
      </w:pPr>
      <w:r>
        <w:rPr>
          <w:b/>
          <w:bCs/>
          <w:i/>
          <w:iCs/>
          <w:color w:val="1F3864"/>
          <w:sz w:val="21"/>
          <w:szCs w:val="21"/>
        </w:rPr>
        <w:t xml:space="preserve">Step 3 — Vendor History</w:t>
      </w:r>
    </w:p>
    <w:p>
      <w:pPr>
        <w:spacing w:after="160" w:line="300"/>
        <w:jc w:val="both"/>
      </w:pPr>
      <w:r>
        <w:rPr>
          <w:color w:val="262626"/>
          <w:sz w:val="22"/>
          <w:szCs w:val="22"/>
        </w:rPr>
        <w:t xml:space="preserve">ABC Ltd's historical average invoice amount is ₹2,47,621. The current invoice is 2.3× that average, which triggers the Vendor Deviation rule.</w:t>
      </w:r>
    </w:p>
    <w:p>
      <w:pPr>
        <w:pStyle w:val="Heading3"/>
        <w:spacing w:after="100" w:before="200"/>
      </w:pPr>
      <w:r>
        <w:rPr>
          <w:b/>
          <w:bCs/>
          <w:i/>
          <w:iCs/>
          <w:color w:val="1F3864"/>
          <w:sz w:val="21"/>
          <w:szCs w:val="21"/>
        </w:rPr>
        <w:t xml:space="preserve">Step 4 — Approval History</w:t>
      </w:r>
    </w:p>
    <w:p>
      <w:pPr>
        <w:spacing w:after="160" w:line="300"/>
        <w:jc w:val="both"/>
      </w:pPr>
      <w:r>
        <w:rPr>
          <w:color w:val="262626"/>
          <w:sz w:val="22"/>
          <w:szCs w:val="22"/>
        </w:rPr>
        <w:t xml:space="preserve">The invoice was approved by EMP002 in 2 minutes — well under the 10-minute threshold — which triggers the Fast Approval rule.</w:t>
      </w:r>
    </w:p>
    <w:p>
      <w:pPr>
        <w:pStyle w:val="Heading3"/>
        <w:spacing w:after="100" w:before="200"/>
      </w:pPr>
      <w:r>
        <w:rPr>
          <w:b/>
          <w:bCs/>
          <w:i/>
          <w:iCs/>
          <w:color w:val="1F3864"/>
          <w:sz w:val="21"/>
          <w:szCs w:val="21"/>
        </w:rPr>
        <w:t xml:space="preserve">Final Risk</w:t>
      </w:r>
    </w:p>
    <w:p>
      <w:pPr>
        <w:spacing w:after="160" w:line="300"/>
        <w:jc w:val="both"/>
      </w:pPr>
      <w:r>
        <w:rPr>
          <w:color w:val="262626"/>
          <w:sz w:val="22"/>
          <w:szCs w:val="22"/>
        </w:rPr>
        <w:t xml:space="preserve">Three independent rules were triggered, producing a </w:t>
      </w:r>
      <w:r>
        <w:rPr>
          <w:b/>
          <w:bCs/>
          <w:color w:val="262626"/>
          <w:sz w:val="22"/>
          <w:szCs w:val="22"/>
        </w:rPr>
        <w:t xml:space="preserve">HIGH RISK</w:t>
      </w:r>
      <w:r>
        <w:rPr>
          <w:color w:val="262626"/>
          <w:sz w:val="22"/>
          <w:szCs w:val="22"/>
        </w:rPr>
        <w:t xml:space="preserve"> classification.</w:t>
      </w:r>
    </w:p>
    <w:p>
      <w:pPr>
        <w:pStyle w:val="Heading2"/>
        <w:spacing w:after="140" w:before="300"/>
      </w:pPr>
      <w:r>
        <w:rPr>
          <w:b/>
          <w:bCs/>
          <w:color w:val="0F6E5E"/>
          <w:sz w:val="24"/>
          <w:szCs w:val="24"/>
        </w:rPr>
        <w:t xml:space="preserve">14.3 Evidence Matrix</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850"/>
        <w:gridCol w:w="290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Evidence Check</w:t>
            </w:r>
          </w:p>
        </w:tc>
        <w:tc>
          <w:tcPr>
            <w:tcW w:type="dxa" w:w="38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Observed Result</w:t>
            </w:r>
          </w:p>
        </w:tc>
        <w:tc>
          <w:tcPr>
            <w:tcW w:type="dxa" w:w="29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Status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 amount</w:t>
            </w:r>
          </w:p>
        </w:tc>
        <w:tc>
          <w:tcPr>
            <w:tcW w:type="dxa" w:w="38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₹5,69,227</w:t>
            </w:r>
          </w:p>
        </w:tc>
        <w:tc>
          <w:tcPr>
            <w:tcW w:type="dxa" w:w="29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bCs/>
                <w:color w:val="595959"/>
                <w:sz w:val="20"/>
                <w:szCs w:val="20"/>
              </w:rPr>
              <w:t xml:space="preserve">Informational</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PO comparison</w:t>
            </w:r>
          </w:p>
        </w:tc>
        <w:tc>
          <w:tcPr>
            <w:tcW w:type="dxa" w:w="38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Invoice is 130% above PO</w:t>
            </w:r>
          </w:p>
        </w:tc>
        <w:tc>
          <w:tcPr>
            <w:tcW w:type="dxa" w:w="2900"/>
            <w:tcBorders>
              <w:top w:val="single" w:color="BFBFBF" w:sz="4"/>
              <w:left w:val="single" w:color="BFBFBF" w:sz="4"/>
              <w:bottom w:val="single" w:color="BFBFBF" w:sz="4"/>
              <w:right w:val="single" w:color="BFBFBF" w:sz="4"/>
            </w:tcBorders>
            <w:shd w:fill="F8E6E6" w:val="clear"/>
            <w:tcMar>
              <w:top w:type="dxa" w:w="90"/>
              <w:left w:type="dxa" w:w="120"/>
              <w:bottom w:type="dxa" w:w="90"/>
              <w:right w:type="dxa" w:w="120"/>
            </w:tcMar>
            <w:vAlign w:val="center"/>
          </w:tcPr>
          <w:p>
            <w:r>
              <w:rPr>
                <w:b/>
                <w:bCs/>
                <w:color w:val="9C2B2B"/>
                <w:sz w:val="20"/>
                <w:szCs w:val="20"/>
              </w:rPr>
              <w:t xml:space="preserve">Flagged</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Vendor history</w:t>
            </w:r>
          </w:p>
        </w:tc>
        <w:tc>
          <w:tcPr>
            <w:tcW w:type="dxa" w:w="38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2.3× historical average</w:t>
            </w:r>
          </w:p>
        </w:tc>
        <w:tc>
          <w:tcPr>
            <w:tcW w:type="dxa" w:w="2900"/>
            <w:tcBorders>
              <w:top w:val="single" w:color="BFBFBF" w:sz="4"/>
              <w:left w:val="single" w:color="BFBFBF" w:sz="4"/>
              <w:bottom w:val="single" w:color="BFBFBF" w:sz="4"/>
              <w:right w:val="single" w:color="BFBFBF" w:sz="4"/>
            </w:tcBorders>
            <w:shd w:fill="F8E6E6" w:val="clear"/>
            <w:tcMar>
              <w:top w:type="dxa" w:w="90"/>
              <w:left w:type="dxa" w:w="120"/>
              <w:bottom w:type="dxa" w:w="90"/>
              <w:right w:type="dxa" w:w="120"/>
            </w:tcMar>
            <w:vAlign w:val="center"/>
          </w:tcPr>
          <w:p>
            <w:r>
              <w:rPr>
                <w:b/>
                <w:bCs/>
                <w:color w:val="9C2B2B"/>
                <w:sz w:val="20"/>
                <w:szCs w:val="20"/>
              </w:rPr>
              <w:t xml:space="preserve">Flagged</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Approval history</w:t>
            </w:r>
          </w:p>
        </w:tc>
        <w:tc>
          <w:tcPr>
            <w:tcW w:type="dxa" w:w="38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Approved in 2 minutes</w:t>
            </w:r>
          </w:p>
        </w:tc>
        <w:tc>
          <w:tcPr>
            <w:tcW w:type="dxa" w:w="2900"/>
            <w:tcBorders>
              <w:top w:val="single" w:color="BFBFBF" w:sz="4"/>
              <w:left w:val="single" w:color="BFBFBF" w:sz="4"/>
              <w:bottom w:val="single" w:color="BFBFBF" w:sz="4"/>
              <w:right w:val="single" w:color="BFBFBF" w:sz="4"/>
            </w:tcBorders>
            <w:shd w:fill="F8E6E6" w:val="clear"/>
            <w:tcMar>
              <w:top w:type="dxa" w:w="90"/>
              <w:left w:type="dxa" w:w="120"/>
              <w:bottom w:type="dxa" w:w="90"/>
              <w:right w:type="dxa" w:w="120"/>
            </w:tcMar>
            <w:vAlign w:val="center"/>
          </w:tcPr>
          <w:p>
            <w:r>
              <w:rPr>
                <w:b/>
                <w:bCs/>
                <w:color w:val="9C2B2B"/>
                <w:sz w:val="20"/>
                <w:szCs w:val="20"/>
              </w:rPr>
              <w:t xml:space="preserve">Flagged</w:t>
            </w:r>
          </w:p>
        </w:tc>
      </w:tr>
    </w:tbl>
    <w:p>
      <w:pPr>
        <w:spacing w:after="120"/>
      </w:pPr>
    </w:p>
    <w:tbl>
      <w:tblPr>
        <w:tblW w:type="dxa" w:w="9350"/>
        <w:tblBorders>
          <w:top w:val="single" w:color="9C2B2B" w:sz="4"/>
          <w:left w:val="single" w:color="9C2B2B" w:sz="24"/>
          <w:bottom w:val="single" w:color="9C2B2B" w:sz="4"/>
          <w:right w:val="single" w:color="9C2B2B" w:sz="4"/>
          <w:insideH w:val="single" w:color="auto" w:sz="4"/>
          <w:insideV w:val="single" w:color="auto" w:sz="4"/>
        </w:tblBorders>
      </w:tblPr>
      <w:tblGrid>
        <w:gridCol w:w="9350"/>
      </w:tblGrid>
      <w:tr>
        <w:tc>
          <w:tcPr>
            <w:tcW w:type="dxa" w:w="9350"/>
            <w:shd w:fill="F8E6E6" w:val="clear"/>
            <w:tcMar>
              <w:top w:type="dxa" w:w="140"/>
              <w:left w:type="dxa" w:w="200"/>
              <w:bottom w:type="dxa" w:w="140"/>
              <w:right w:type="dxa" w:w="200"/>
            </w:tcMar>
          </w:tcPr>
          <w:p>
            <w:pPr>
              <w:spacing w:after="60"/>
            </w:pPr>
            <w:r>
              <w:rPr>
                <w:b/>
                <w:bCs/>
                <w:color w:val="9C2B2B"/>
                <w:sz w:val="21"/>
                <w:szCs w:val="21"/>
              </w:rPr>
              <w:t xml:space="preserve">INVESTIGATION CONCLUSION</w:t>
            </w:r>
          </w:p>
          <w:p>
            <w:pPr>
              <w:spacing w:after="0"/>
            </w:pPr>
            <w:r>
              <w:rPr>
                <w:color w:val="262626"/>
                <w:sz w:val="21"/>
                <w:szCs w:val="21"/>
              </w:rPr>
              <w:t xml:space="preserve">INV003 requires review because multiple independent financial signals point to unusual activity: a substantial invoice-to-PO mismatch, a significant deviation from the vendor's historical invoice value, and unusually rapid approval. The combination of these signals — not any single number — produces the HIGH-risk classification.</w:t>
            </w:r>
          </w:p>
        </w:tc>
      </w:tr>
    </w:tbl>
    <w:p>
      <w:r>
        <w:br w:type="page"/>
      </w:r>
    </w:p>
    <w:p>
      <w:pPr>
        <w:pStyle w:val="Heading1"/>
        <w:pBdr>
          <w:bottom w:val="single" w:color="1F3864" w:sz="12" w:space="4"/>
        </w:pBdr>
        <w:spacing w:after="200" w:before="400"/>
      </w:pPr>
      <w:r>
        <w:rPr>
          <w:b/>
          <w:bCs/>
          <w:color w:val="1F3864"/>
          <w:sz w:val="30"/>
          <w:szCs w:val="30"/>
        </w:rPr>
        <w:t xml:space="preserve">15. Other Detected Cases</w:t>
      </w:r>
    </w:p>
    <w:p>
      <w:pPr>
        <w:spacing w:after="160" w:line="300"/>
        <w:jc w:val="both"/>
      </w:pPr>
      <w:r>
        <w:rPr>
          <w:color w:val="262626"/>
          <w:sz w:val="22"/>
          <w:szCs w:val="22"/>
        </w:rPr>
        <w:t xml:space="preserve">The remaining three flagged invoices are summarized below rather than walked through step by step, to keep this document focused on one fully worked investigation. Even in compact form, the table below shows the same underlying pattern: risk comes from the combination of triggered signals, not from a single score.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100"/>
        <w:gridCol w:w="2100"/>
        <w:gridCol w:w="1950"/>
        <w:gridCol w:w="23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Invoice</w:t>
            </w:r>
          </w:p>
        </w:tc>
        <w:tc>
          <w:tcPr>
            <w:tcW w:type="dxa" w:w="2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PO Evidence</w:t>
            </w:r>
          </w:p>
        </w:tc>
        <w:tc>
          <w:tcPr>
            <w:tcW w:type="dxa" w:w="2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Vendor Evidence</w:t>
            </w:r>
          </w:p>
        </w:tc>
        <w:tc>
          <w:tcPr>
            <w:tcW w:type="dxa" w:w="19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Approval Evidence</w:t>
            </w:r>
          </w:p>
        </w:tc>
        <w:tc>
          <w:tcPr>
            <w:tcW w:type="dxa" w:w="2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Main Finding</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INV021</w:t>
            </w:r>
          </w:p>
        </w:tc>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PO003 = ₹77,031; invoice = ₹78,571 (~2% difference) — no PO mismatch</w:t>
            </w:r>
          </w:p>
        </w:tc>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V002 (XYZ Ltd) avg = ₹86,556; invoice is below average — no vendor deviation</w:t>
            </w:r>
          </w:p>
        </w:tc>
        <w:tc>
          <w:tcPr>
            <w:tcW w:type="dxa" w:w="19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Approved in 3 min by EMP001</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Fast approval + Duplicate</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INV022</w:t>
            </w:r>
          </w:p>
        </w:tc>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PO003 = ₹77,031; invoice = ₹78,571 (~2% difference) — no PO mismatch</w:t>
            </w:r>
          </w:p>
        </w:tc>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V002 (XYZ Ltd) avg = ₹86,556; invoice is below average — no vendor deviation</w:t>
            </w:r>
          </w:p>
        </w:tc>
        <w:tc>
          <w:tcPr>
            <w:tcW w:type="dxa" w:w="19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Approved in 3 min by EMP005</w:t>
            </w:r>
          </w:p>
        </w:tc>
        <w:tc>
          <w:tcPr>
            <w:tcW w:type="dxa" w:w="23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Fast approval + Duplicate</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INV045</w:t>
            </w:r>
          </w:p>
        </w:tc>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No PO linked</w:t>
            </w:r>
          </w:p>
        </w:tc>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V003 (Sterling Supplies) avg = ₹1,44,196; invoice = ₹2,59,552 (~1.80× average)</w:t>
            </w:r>
          </w:p>
        </w:tc>
        <w:tc>
          <w:tcPr>
            <w:tcW w:type="dxa" w:w="19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Approved after 10 h 14 min — no fast-approval flag</w:t>
            </w:r>
          </w:p>
        </w:tc>
        <w:tc>
          <w:tcPr>
            <w:tcW w:type="dxa" w:w="23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Missing PO + Vendor deviation</w:t>
            </w:r>
          </w:p>
        </w:tc>
      </w:tr>
    </w:tbl>
    <w:p>
      <w:pPr>
        <w:spacing w:after="120"/>
      </w:pPr>
    </w:p>
    <w:p>
      <w:pPr>
        <w:spacing w:after="160" w:line="300"/>
        <w:jc w:val="both"/>
      </w:pPr>
      <w:r>
        <w:rPr>
          <w:color w:val="262626"/>
          <w:sz w:val="22"/>
          <w:szCs w:val="22"/>
        </w:rPr>
        <w:t xml:space="preserve">INV021 and INV022 illustrate an important nuance in FinSight's design: a flagged invoice does not need to trigger every rule to be worth reviewing. Neither invoice shows a PO mismatch or a vendor deviation — their risk comes entirely from the combination of an unusually fast approval and a duplicate-invoice match against each other. INV045, by contrast, has no PO mismatch signal simply because it has no PO to compare against at all, which is itself the finding.</w:t>
      </w:r>
    </w:p>
    <w:p>
      <w:r>
        <w:br w:type="page"/>
      </w:r>
    </w:p>
    <w:p>
      <w:pPr>
        <w:pStyle w:val="Heading1"/>
        <w:pBdr>
          <w:bottom w:val="single" w:color="1F3864" w:sz="12" w:space="4"/>
        </w:pBdr>
        <w:spacing w:after="200" w:before="400"/>
      </w:pPr>
      <w:r>
        <w:rPr>
          <w:b/>
          <w:bCs/>
          <w:color w:val="1F3864"/>
          <w:sz w:val="30"/>
          <w:szCs w:val="30"/>
        </w:rPr>
        <w:t xml:space="preserve">16. What Makes FinSight Different</w:t>
      </w:r>
    </w:p>
    <w:p>
      <w:pPr>
        <w:pStyle w:val="Heading2"/>
        <w:spacing w:after="140" w:before="300"/>
      </w:pPr>
      <w:r>
        <w:rPr>
          <w:b/>
          <w:bCs/>
          <w:color w:val="0F6E5E"/>
          <w:sz w:val="24"/>
          <w:szCs w:val="24"/>
        </w:rPr>
        <w:t xml:space="preserve">16.1 Detection vs. Investigation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Traditional Anomaly Detection</w:t>
            </w:r>
          </w:p>
        </w:tc>
        <w:tc>
          <w:tcPr>
            <w:tcW w:type="dxa" w:w="4675"/>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FinSight</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Gives a risk score</w:t>
            </w:r>
          </w:p>
        </w:tc>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Gives an investigation trail</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Looks mainly at the transaction</w:t>
            </w:r>
          </w:p>
        </w:tc>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Cross-checks related records</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Black-box flag</w:t>
            </w:r>
          </w:p>
        </w:tc>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Evidence-backed explanation</w:t>
            </w:r>
          </w:p>
        </w:tc>
      </w:tr>
      <w:tr>
        <w:trPr>
          <w:cantSplit/>
        </w:trPr>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Human investigates manually</w:t>
            </w:r>
          </w:p>
        </w:tc>
        <w:tc>
          <w:tcPr>
            <w:tcW w:type="dxa" w:w="4675"/>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AI assists the investigation</w:t>
            </w:r>
          </w:p>
        </w:tc>
      </w:tr>
      <w:tr>
        <w:trPr>
          <w:cantSplit/>
        </w:trPr>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Detection-focused</w:t>
            </w:r>
          </w:p>
        </w:tc>
        <w:tc>
          <w:tcPr>
            <w:tcW w:type="dxa" w:w="4675"/>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Detection + reasoning + action</w:t>
            </w:r>
          </w:p>
        </w:tc>
      </w:tr>
    </w:tbl>
    <w:p>
      <w:pPr>
        <w:spacing w:after="120"/>
      </w:pPr>
    </w:p>
    <w:p>
      <w:pPr>
        <w:spacing w:after="160" w:line="300"/>
        <w:jc w:val="both"/>
      </w:pPr>
      <w:r>
        <w:rPr>
          <w:color w:val="262626"/>
          <w:sz w:val="22"/>
          <w:szCs w:val="22"/>
        </w:rPr>
        <w:t xml:space="preserve">The three-layer architecture in Section 4 — detection, investigation, reasoning — is what turns a flag into a case. That separation, more than any single feature, is FinSight's central design idea.</w:t>
      </w:r>
    </w:p>
    <w:p>
      <w:r>
        <w:br w:type="page"/>
      </w:r>
    </w:p>
    <w:p>
      <w:pPr>
        <w:pStyle w:val="Heading1"/>
        <w:pBdr>
          <w:bottom w:val="single" w:color="1F3864" w:sz="12" w:space="4"/>
        </w:pBdr>
        <w:spacing w:after="200" w:before="400"/>
      </w:pPr>
      <w:r>
        <w:rPr>
          <w:b/>
          <w:bCs/>
          <w:color w:val="1F3864"/>
          <w:sz w:val="30"/>
          <w:szCs w:val="30"/>
        </w:rPr>
        <w:t xml:space="preserve">17. Impact &amp; Feasibility</w:t>
      </w:r>
    </w:p>
    <w:p>
      <w:pPr>
        <w:pStyle w:val="Heading2"/>
        <w:spacing w:after="140" w:before="300"/>
      </w:pPr>
      <w:r>
        <w:rPr>
          <w:b/>
          <w:bCs/>
          <w:color w:val="0F6E5E"/>
          <w:sz w:val="24"/>
          <w:szCs w:val="24"/>
        </w:rPr>
        <w:t xml:space="preserve">17.1 Primary Users</w:t>
      </w:r>
    </w:p>
    <w:p>
      <w:pPr>
        <w:pStyle w:val="ListParagraph"/>
        <w:numPr>
          <w:ilvl w:val="0"/>
          <w:numId w:val="2"/>
        </w:numPr>
        <w:spacing w:after="90"/>
      </w:pPr>
      <w:r>
        <w:rPr>
          <w:color w:val="262626"/>
          <w:sz w:val="22"/>
          <w:szCs w:val="22"/>
        </w:rPr>
        <w:t xml:space="preserve">Financial analysts</w:t>
      </w:r>
    </w:p>
    <w:p>
      <w:pPr>
        <w:pStyle w:val="ListParagraph"/>
        <w:numPr>
          <w:ilvl w:val="0"/>
          <w:numId w:val="2"/>
        </w:numPr>
        <w:spacing w:after="90"/>
      </w:pPr>
      <w:r>
        <w:rPr>
          <w:color w:val="262626"/>
          <w:sz w:val="22"/>
          <w:szCs w:val="22"/>
        </w:rPr>
        <w:t xml:space="preserve">Accounts payable teams</w:t>
      </w:r>
    </w:p>
    <w:p>
      <w:pPr>
        <w:pStyle w:val="ListParagraph"/>
        <w:numPr>
          <w:ilvl w:val="0"/>
          <w:numId w:val="2"/>
        </w:numPr>
        <w:spacing w:after="90"/>
      </w:pPr>
      <w:r>
        <w:rPr>
          <w:color w:val="262626"/>
          <w:sz w:val="22"/>
          <w:szCs w:val="22"/>
        </w:rPr>
        <w:t xml:space="preserve">Internal audit teams</w:t>
      </w:r>
    </w:p>
    <w:p>
      <w:pPr>
        <w:pStyle w:val="ListParagraph"/>
        <w:numPr>
          <w:ilvl w:val="0"/>
          <w:numId w:val="2"/>
        </w:numPr>
        <w:spacing w:after="90"/>
      </w:pPr>
      <w:r>
        <w:rPr>
          <w:color w:val="262626"/>
          <w:sz w:val="22"/>
          <w:szCs w:val="22"/>
        </w:rPr>
        <w:t xml:space="preserve">Fraud / risk teams</w:t>
      </w:r>
    </w:p>
    <w:p>
      <w:pPr>
        <w:pStyle w:val="ListParagraph"/>
        <w:numPr>
          <w:ilvl w:val="0"/>
          <w:numId w:val="2"/>
        </w:numPr>
        <w:spacing w:after="90"/>
      </w:pPr>
      <w:r>
        <w:rPr>
          <w:color w:val="262626"/>
          <w:sz w:val="22"/>
          <w:szCs w:val="22"/>
        </w:rPr>
        <w:t xml:space="preserve">Finance managers</w:t>
      </w:r>
    </w:p>
    <w:p>
      <w:pPr>
        <w:pStyle w:val="Heading2"/>
        <w:spacing w:after="140" w:before="300"/>
      </w:pPr>
      <w:r>
        <w:rPr>
          <w:b/>
          <w:bCs/>
          <w:color w:val="0F6E5E"/>
          <w:sz w:val="24"/>
          <w:szCs w:val="24"/>
        </w:rPr>
        <w:t xml:space="preserve">17.2 Potential Benefits</w:t>
      </w:r>
    </w:p>
    <w:p>
      <w:pPr>
        <w:pStyle w:val="ListParagraph"/>
        <w:numPr>
          <w:ilvl w:val="0"/>
          <w:numId w:val="2"/>
        </w:numPr>
        <w:spacing w:after="90"/>
      </w:pPr>
      <w:r>
        <w:rPr>
          <w:color w:val="262626"/>
          <w:sz w:val="22"/>
          <w:szCs w:val="22"/>
        </w:rPr>
        <w:t xml:space="preserve">Reduce manual investigation effort per flagged case.</w:t>
      </w:r>
    </w:p>
    <w:p>
      <w:pPr>
        <w:pStyle w:val="ListParagraph"/>
        <w:numPr>
          <w:ilvl w:val="0"/>
          <w:numId w:val="2"/>
        </w:numPr>
        <w:spacing w:after="90"/>
      </w:pPr>
      <w:r>
        <w:rPr>
          <w:color w:val="262626"/>
          <w:sz w:val="22"/>
          <w:szCs w:val="22"/>
        </w:rPr>
        <w:t xml:space="preserve">Prioritize suspicious invoices by evidence strength, not a single score.</w:t>
      </w:r>
    </w:p>
    <w:p>
      <w:pPr>
        <w:pStyle w:val="ListParagraph"/>
        <w:numPr>
          <w:ilvl w:val="0"/>
          <w:numId w:val="2"/>
        </w:numPr>
        <w:spacing w:after="90"/>
      </w:pPr>
      <w:r>
        <w:rPr>
          <w:color w:val="262626"/>
          <w:sz w:val="22"/>
          <w:szCs w:val="22"/>
        </w:rPr>
        <w:t xml:space="preserve">Make anomaly alerts easier to understand and act on.</w:t>
      </w:r>
    </w:p>
    <w:p>
      <w:pPr>
        <w:pStyle w:val="ListParagraph"/>
        <w:numPr>
          <w:ilvl w:val="0"/>
          <w:numId w:val="2"/>
        </w:numPr>
        <w:spacing w:after="90"/>
      </w:pPr>
      <w:r>
        <w:rPr>
          <w:color w:val="262626"/>
          <w:sz w:val="22"/>
          <w:szCs w:val="22"/>
        </w:rPr>
        <w:t xml:space="preserve">Surface multiple supporting signals for a single case, rather than one number.</w:t>
      </w:r>
    </w:p>
    <w:p>
      <w:pPr>
        <w:pStyle w:val="ListParagraph"/>
        <w:numPr>
          <w:ilvl w:val="0"/>
          <w:numId w:val="2"/>
        </w:numPr>
        <w:spacing w:after="90"/>
      </w:pPr>
      <w:r>
        <w:rPr>
          <w:color w:val="262626"/>
          <w:sz w:val="22"/>
          <w:szCs w:val="22"/>
        </w:rPr>
        <w:t xml:space="preserve">Provide consistent, evidence-grounded investigation summaries.</w:t>
      </w:r>
    </w:p>
    <w:p>
      <w:pPr>
        <w:pStyle w:val="ListParagraph"/>
        <w:numPr>
          <w:ilvl w:val="0"/>
          <w:numId w:val="2"/>
        </w:numPr>
        <w:spacing w:after="90"/>
      </w:pPr>
      <w:r>
        <w:rPr>
          <w:color w:val="262626"/>
          <w:sz w:val="22"/>
          <w:szCs w:val="22"/>
        </w:rPr>
        <w:t xml:space="preserve">Support — rather than replace — human decision-making.</w:t>
      </w:r>
    </w:p>
    <w:p>
      <w:pPr>
        <w:pStyle w:val="Heading2"/>
        <w:spacing w:after="140" w:before="300"/>
      </w:pPr>
      <w:r>
        <w:rPr>
          <w:b/>
          <w:bCs/>
          <w:color w:val="0F6E5E"/>
          <w:sz w:val="24"/>
          <w:szCs w:val="24"/>
        </w:rPr>
        <w:t xml:space="preserve">17.3 Feasibility</w:t>
      </w:r>
    </w:p>
    <w:p>
      <w:pPr>
        <w:spacing w:after="160" w:line="300"/>
        <w:jc w:val="both"/>
      </w:pPr>
      <w:r>
        <w:rPr>
          <w:color w:val="262626"/>
          <w:sz w:val="22"/>
          <w:szCs w:val="22"/>
        </w:rPr>
        <w:t xml:space="preserve">The current prototype is intentionally lightweight: CSV-based data, a FastAPI backend, deterministic Python rules, a React dashboard, and the Gemini API for narration. This keeps the system easy to reason about and cheap to run, while leaving a clear path to extend it toward ERP and accounting-system integration, larger transaction volumes, and real-time monitoring, discussed further in Section 19.</w:t>
      </w:r>
    </w:p>
    <w:tbl>
      <w:tblPr>
        <w:tblW w:type="dxa" w:w="9350"/>
        <w:tblBorders>
          <w:top w:val="single" w:color="0F6E5E" w:sz="4"/>
          <w:left w:val="single" w:color="0F6E5E" w:sz="24"/>
          <w:bottom w:val="single" w:color="0F6E5E" w:sz="4"/>
          <w:right w:val="single" w:color="0F6E5E" w:sz="4"/>
          <w:insideH w:val="single" w:color="auto" w:sz="4"/>
          <w:insideV w:val="single" w:color="auto" w:sz="4"/>
        </w:tblBorders>
      </w:tblPr>
      <w:tblGrid>
        <w:gridCol w:w="9350"/>
      </w:tblGrid>
      <w:tr>
        <w:tc>
          <w:tcPr>
            <w:tcW w:type="dxa" w:w="9350"/>
            <w:shd w:fill="E6F2EF" w:val="clear"/>
            <w:tcMar>
              <w:top w:type="dxa" w:w="140"/>
              <w:left w:type="dxa" w:w="200"/>
              <w:bottom w:type="dxa" w:w="140"/>
              <w:right w:type="dxa" w:w="200"/>
            </w:tcMar>
          </w:tcPr>
          <w:p>
            <w:pPr>
              <w:spacing w:after="60"/>
            </w:pPr>
            <w:r>
              <w:rPr>
                <w:b/>
                <w:bCs/>
                <w:color w:val="0F6E5E"/>
                <w:sz w:val="21"/>
                <w:szCs w:val="21"/>
              </w:rPr>
              <w:t xml:space="preserve">ON LANGUAGE</w:t>
            </w:r>
          </w:p>
          <w:p>
            <w:pPr>
              <w:spacing w:after="0"/>
            </w:pPr>
            <w:r>
              <w:rPr>
                <w:color w:val="262626"/>
                <w:sz w:val="21"/>
                <w:szCs w:val="21"/>
              </w:rPr>
              <w:t xml:space="preserve">FinSight assists financial teams in identifying and investigating potentially suspicious transactions. An anomaly is not automatically fraud, and this document deliberately avoids describing FinSight as a system that “prevents” or “detects” fraud outright.</w:t>
            </w:r>
          </w:p>
        </w:tc>
      </w:tr>
    </w:tbl>
    <w:p>
      <w:r>
        <w:br w:type="page"/>
      </w:r>
    </w:p>
    <w:p>
      <w:pPr>
        <w:pStyle w:val="Heading1"/>
        <w:pBdr>
          <w:bottom w:val="single" w:color="1F3864" w:sz="12" w:space="4"/>
        </w:pBdr>
        <w:spacing w:after="200" w:before="400"/>
      </w:pPr>
      <w:r>
        <w:rPr>
          <w:b/>
          <w:bCs/>
          <w:color w:val="1F3864"/>
          <w:sz w:val="30"/>
          <w:szCs w:val="30"/>
        </w:rPr>
        <w:t xml:space="preserve">18. Limitations</w:t>
      </w:r>
    </w:p>
    <w:p>
      <w:pPr>
        <w:spacing w:after="160" w:line="300"/>
        <w:jc w:val="both"/>
      </w:pPr>
      <w:r>
        <w:rPr>
          <w:color w:val="262626"/>
          <w:sz w:val="22"/>
          <w:szCs w:val="22"/>
        </w:rPr>
        <w:t xml:space="preserve">Stating these plainly is, in our view, part of making this documentation credible rather than a weakness to hide.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7250"/>
      </w:tblGrid>
      <w:tr>
        <w:trPr>
          <w:tblHeader/>
        </w:trPr>
        <w:tc>
          <w:tcPr>
            <w:tcW w:type="dxa" w:w="2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Area</w:t>
            </w:r>
          </w:p>
        </w:tc>
        <w:tc>
          <w:tcPr>
            <w:tcW w:type="dxa" w:w="72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0"/>
                <w:szCs w:val="20"/>
              </w:rPr>
              <w:t xml:space="preserve">Limitation</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Dataset</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The prototype uses synthetic demonstration data rather than real enterprise financial records.</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Detection method</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Anomaly detection uses manually defined deterministic thresholds, not a trained fraud-detection model.</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Temporal signals</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Invoice timestamps exist in the dataset, but unusual transaction timing (e.g., late-night submissions) is not currently used as a detection rule.</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Cash flow scope</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There are no separate inflow records, so the system cannot calculate actual balance, net cash flow, or a true inflow/outflow relationship.</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Forecasting method</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The forecast is a simple three-month moving average and should not be read as a production-grade financial forecasting model.</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AI role</w:t>
            </w:r>
          </w:p>
        </w:tc>
        <w:tc>
          <w:tcPr>
            <w:tcW w:type="dxa" w:w="725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b w:val="false"/>
                <w:bCs w:val="false"/>
                <w:color w:val="262626"/>
                <w:sz w:val="20"/>
                <w:szCs w:val="20"/>
              </w:rPr>
              <w:t xml:space="preserve">Gemini explains the structured evidence the backend supplies; it should be treated as a decision-support layer, not an autonomous financial decision-maker.</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AI Assistant scope</w:t>
            </w:r>
          </w:p>
        </w:tc>
        <w:tc>
          <w:tcPr>
            <w:tcW w:type="dxa" w:w="725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b w:val="false"/>
                <w:bCs w:val="false"/>
                <w:color w:val="262626"/>
                <w:sz w:val="20"/>
                <w:szCs w:val="20"/>
              </w:rPr>
              <w:t xml:space="preserve">The current interface centers on investigating a selected flagged case rather than unrestricted, dataset-wide conversational analytics.</w:t>
            </w:r>
          </w:p>
        </w:tc>
      </w:tr>
    </w:tbl>
    <w:p>
      <w:r>
        <w:br w:type="page"/>
      </w:r>
    </w:p>
    <w:p>
      <w:pPr>
        <w:pStyle w:val="Heading1"/>
        <w:pBdr>
          <w:bottom w:val="single" w:color="1F3864" w:sz="12" w:space="4"/>
        </w:pBdr>
        <w:spacing w:after="200" w:before="400"/>
      </w:pPr>
      <w:r>
        <w:rPr>
          <w:b/>
          <w:bCs/>
          <w:color w:val="1F3864"/>
          <w:sz w:val="30"/>
          <w:szCs w:val="30"/>
        </w:rPr>
        <w:t xml:space="preserve">19. Future Scope</w:t>
      </w:r>
    </w:p>
    <w:p>
      <w:pPr>
        <w:pStyle w:val="Heading2"/>
        <w:spacing w:after="140" w:before="300"/>
      </w:pPr>
      <w:r>
        <w:rPr>
          <w:b/>
          <w:bCs/>
          <w:color w:val="0F6E5E"/>
          <w:sz w:val="24"/>
          <w:szCs w:val="24"/>
        </w:rPr>
        <w:t xml:space="preserve">19.1 More Advanced Anomaly Detection</w:t>
      </w:r>
    </w:p>
    <w:p>
      <w:pPr>
        <w:pStyle w:val="ListParagraph"/>
        <w:numPr>
          <w:ilvl w:val="0"/>
          <w:numId w:val="2"/>
        </w:numPr>
        <w:spacing w:after="90"/>
      </w:pPr>
      <w:r>
        <w:rPr>
          <w:color w:val="262626"/>
          <w:sz w:val="22"/>
          <w:szCs w:val="22"/>
        </w:rPr>
        <w:t xml:space="preserve">Statistical and machine-learning models layered on top of the current deterministic rules.</w:t>
      </w:r>
    </w:p>
    <w:p>
      <w:pPr>
        <w:pStyle w:val="ListParagraph"/>
        <w:numPr>
          <w:ilvl w:val="0"/>
          <w:numId w:val="2"/>
        </w:numPr>
        <w:spacing w:after="90"/>
      </w:pPr>
      <w:r>
        <w:rPr>
          <w:color w:val="262626"/>
          <w:sz w:val="22"/>
          <w:szCs w:val="22"/>
        </w:rPr>
        <w:t xml:space="preserve">Adaptive, per-vendor baselines rather than a single fixed multiplier.</w:t>
      </w:r>
    </w:p>
    <w:p>
      <w:pPr>
        <w:pStyle w:val="ListParagraph"/>
        <w:numPr>
          <w:ilvl w:val="0"/>
          <w:numId w:val="2"/>
        </w:numPr>
        <w:spacing w:after="90"/>
      </w:pPr>
      <w:r>
        <w:rPr>
          <w:color w:val="262626"/>
          <w:sz w:val="22"/>
          <w:szCs w:val="22"/>
        </w:rPr>
        <w:t xml:space="preserve">Temporal anomaly detection, using the timestamps already present in the dataset (e.g., late-night submissions, unusual approval-timing patterns).</w:t>
      </w:r>
    </w:p>
    <w:p>
      <w:pPr>
        <w:pStyle w:val="ListParagraph"/>
        <w:numPr>
          <w:ilvl w:val="0"/>
          <w:numId w:val="2"/>
        </w:numPr>
        <w:spacing w:after="90"/>
      </w:pPr>
      <w:r>
        <w:rPr>
          <w:color w:val="262626"/>
          <w:sz w:val="22"/>
          <w:szCs w:val="22"/>
        </w:rPr>
        <w:t xml:space="preserve">Broader behavioral pattern detection across vendors and approvers.</w:t>
      </w:r>
    </w:p>
    <w:p>
      <w:pPr>
        <w:pStyle w:val="Heading2"/>
        <w:spacing w:after="140" w:before="300"/>
      </w:pPr>
      <w:r>
        <w:rPr>
          <w:b/>
          <w:bCs/>
          <w:color w:val="0F6E5E"/>
          <w:sz w:val="24"/>
          <w:szCs w:val="24"/>
        </w:rPr>
        <w:t xml:space="preserve">19.2 Real-Time Monitoring</w:t>
      </w:r>
    </w:p>
    <w:p>
      <w:pPr>
        <w:spacing w:after="160" w:line="300"/>
        <w:jc w:val="both"/>
      </w:pPr>
      <w:r>
        <w:rPr>
          <w:color w:val="262626"/>
          <w:sz w:val="22"/>
          <w:szCs w:val="22"/>
        </w:rPr>
        <w:t xml:space="preserve">Process transactions as they arrive and begin the investigation trail immediately, rather than running detection as a batch step.</w:t>
      </w:r>
    </w:p>
    <w:p>
      <w:pPr>
        <w:pStyle w:val="Heading2"/>
        <w:spacing w:after="140" w:before="300"/>
      </w:pPr>
      <w:r>
        <w:rPr>
          <w:b/>
          <w:bCs/>
          <w:color w:val="0F6E5E"/>
          <w:sz w:val="24"/>
          <w:szCs w:val="24"/>
        </w:rPr>
        <w:t xml:space="preserve">19.3 Enterprise Data Integration</w:t>
      </w:r>
    </w:p>
    <w:p>
      <w:pPr>
        <w:pStyle w:val="ListParagraph"/>
        <w:numPr>
          <w:ilvl w:val="0"/>
          <w:numId w:val="2"/>
        </w:numPr>
        <w:spacing w:after="90"/>
      </w:pPr>
      <w:r>
        <w:rPr>
          <w:color w:val="262626"/>
          <w:sz w:val="22"/>
          <w:szCs w:val="22"/>
        </w:rPr>
        <w:t xml:space="preserve">ERP systems</w:t>
      </w:r>
    </w:p>
    <w:p>
      <w:pPr>
        <w:pStyle w:val="ListParagraph"/>
        <w:numPr>
          <w:ilvl w:val="0"/>
          <w:numId w:val="2"/>
        </w:numPr>
        <w:spacing w:after="90"/>
      </w:pPr>
      <w:r>
        <w:rPr>
          <w:color w:val="262626"/>
          <w:sz w:val="22"/>
          <w:szCs w:val="22"/>
        </w:rPr>
        <w:t xml:space="preserve">Accounting platforms</w:t>
      </w:r>
    </w:p>
    <w:p>
      <w:pPr>
        <w:pStyle w:val="ListParagraph"/>
        <w:numPr>
          <w:ilvl w:val="0"/>
          <w:numId w:val="2"/>
        </w:numPr>
        <w:spacing w:after="90"/>
      </w:pPr>
      <w:r>
        <w:rPr>
          <w:color w:val="262626"/>
          <w:sz w:val="22"/>
          <w:szCs w:val="22"/>
        </w:rPr>
        <w:t xml:space="preserve">Procurement systems</w:t>
      </w:r>
    </w:p>
    <w:p>
      <w:pPr>
        <w:pStyle w:val="ListParagraph"/>
        <w:numPr>
          <w:ilvl w:val="0"/>
          <w:numId w:val="2"/>
        </w:numPr>
        <w:spacing w:after="90"/>
      </w:pPr>
      <w:r>
        <w:rPr>
          <w:color w:val="262626"/>
          <w:sz w:val="22"/>
          <w:szCs w:val="22"/>
        </w:rPr>
        <w:t xml:space="preserve">Invoice management systems</w:t>
      </w:r>
    </w:p>
    <w:p>
      <w:pPr>
        <w:pStyle w:val="Heading2"/>
        <w:spacing w:after="140" w:before="300"/>
      </w:pPr>
      <w:r>
        <w:rPr>
          <w:b/>
          <w:bCs/>
          <w:color w:val="0F6E5E"/>
          <w:sz w:val="24"/>
          <w:szCs w:val="24"/>
        </w:rPr>
        <w:t xml:space="preserve">19.4 Stronger Forecasting</w:t>
      </w:r>
    </w:p>
    <w:p>
      <w:pPr>
        <w:spacing w:after="160" w:line="300"/>
        <w:jc w:val="both"/>
      </w:pPr>
      <w:r>
        <w:rPr>
          <w:color w:val="262626"/>
          <w:sz w:val="22"/>
          <w:szCs w:val="22"/>
        </w:rPr>
        <w:t xml:space="preserve">Replace the moving average with models such as ARIMA, Prophet, or gradient-boosted time-series models — once separate inflow data is available to support a genuine net cash flow calculation.</w:t>
      </w:r>
    </w:p>
    <w:p>
      <w:pPr>
        <w:pStyle w:val="Heading2"/>
        <w:spacing w:after="140" w:before="300"/>
      </w:pPr>
      <w:r>
        <w:rPr>
          <w:b/>
          <w:bCs/>
          <w:color w:val="0F6E5E"/>
          <w:sz w:val="24"/>
          <w:szCs w:val="24"/>
        </w:rPr>
        <w:t xml:space="preserve">19.5 A Fuller Conversational Assistant</w:t>
      </w:r>
    </w:p>
    <w:p>
      <w:pPr>
        <w:spacing w:after="160" w:line="300"/>
        <w:jc w:val="both"/>
      </w:pPr>
      <w:r>
        <w:rPr>
          <w:color w:val="262626"/>
          <w:sz w:val="22"/>
          <w:szCs w:val="22"/>
        </w:rPr>
        <w:t xml:space="preserve">Extend the AI Assistant so that a question can be answered as a genuine, freshly reasoned query across the full dataset — invoices, vendors, POs, approvals, and cash flow — rather than being anchored to a single pre-selected case.</w:t>
      </w:r>
    </w:p>
    <w:p>
      <w:pPr>
        <w:pStyle w:val="Heading2"/>
        <w:spacing w:after="140" w:before="300"/>
      </w:pPr>
      <w:r>
        <w:rPr>
          <w:b/>
          <w:bCs/>
          <w:color w:val="0F6E5E"/>
          <w:sz w:val="24"/>
          <w:szCs w:val="24"/>
        </w:rPr>
        <w:t xml:space="preserve">19.6 Workflow Automation</w:t>
      </w:r>
    </w:p>
    <w:p>
      <w:pPr>
        <w:spacing w:after="40"/>
        <w:jc w:val="center"/>
      </w:pPr>
      <w:r>
        <w:rPr>
          <w:b/>
          <w:bCs/>
          <w:color w:val="1F3864"/>
          <w:sz w:val="21"/>
          <w:szCs w:val="21"/>
        </w:rPr>
        <w:t xml:space="preserve">Flag → Investigate → Assign analyst → Request verification → Escalate → Resolve</w:t>
      </w:r>
    </w:p>
    <w:p>
      <w:r>
        <w:br w:type="page"/>
      </w:r>
    </w:p>
    <w:p>
      <w:pPr>
        <w:pStyle w:val="Heading1"/>
        <w:pBdr>
          <w:bottom w:val="single" w:color="1F3864" w:sz="12" w:space="4"/>
        </w:pBdr>
        <w:spacing w:after="200" w:before="400"/>
      </w:pPr>
      <w:r>
        <w:rPr>
          <w:b/>
          <w:bCs/>
          <w:color w:val="1F3864"/>
          <w:sz w:val="30"/>
          <w:szCs w:val="30"/>
        </w:rPr>
        <w:t xml:space="preserve">20. Conclusion</w:t>
      </w:r>
    </w:p>
    <w:p>
      <w:pPr>
        <w:spacing w:after="160" w:line="300"/>
        <w:jc w:val="both"/>
      </w:pPr>
      <w:r>
        <w:rPr>
          <w:color w:val="262626"/>
          <w:sz w:val="22"/>
          <w:szCs w:val="22"/>
        </w:rPr>
        <w:t xml:space="preserve">FinSight deliberately separates detection from reasoning. The rule-based detection layer determines </w:t>
      </w:r>
      <w:r>
        <w:rPr>
          <w:b/>
          <w:bCs/>
          <w:color w:val="262626"/>
          <w:sz w:val="22"/>
          <w:szCs w:val="22"/>
        </w:rPr>
        <w:t xml:space="preserve">what evidence exists</w:t>
      </w:r>
      <w:r>
        <w:rPr>
          <w:color w:val="262626"/>
          <w:sz w:val="22"/>
          <w:szCs w:val="22"/>
        </w:rPr>
        <w:t xml:space="preserve">. The investigation engine determines </w:t>
      </w:r>
      <w:r>
        <w:rPr>
          <w:b/>
          <w:bCs/>
          <w:color w:val="262626"/>
          <w:sz w:val="22"/>
          <w:szCs w:val="22"/>
        </w:rPr>
        <w:t xml:space="preserve">how that evidence is connected</w:t>
      </w:r>
      <w:r>
        <w:rPr>
          <w:color w:val="262626"/>
          <w:sz w:val="22"/>
          <w:szCs w:val="22"/>
        </w:rPr>
        <w:t xml:space="preserve">. Gemini determines </w:t>
      </w:r>
      <w:r>
        <w:rPr>
          <w:b/>
          <w:bCs/>
          <w:color w:val="262626"/>
          <w:sz w:val="22"/>
          <w:szCs w:val="22"/>
        </w:rPr>
        <w:t xml:space="preserve">how that evidence is communicated</w:t>
      </w:r>
      <w:r>
        <w:rPr>
          <w:color w:val="262626"/>
          <w:sz w:val="22"/>
          <w:szCs w:val="22"/>
        </w:rPr>
        <w:t xml:space="preserve"> to the analyst.</w:t>
      </w:r>
    </w:p>
    <w:p>
      <w:pPr>
        <w:spacing w:after="160" w:line="300"/>
        <w:jc w:val="both"/>
      </w:pPr>
      <w:r>
        <w:rPr>
          <w:color w:val="262626"/>
          <w:sz w:val="22"/>
          <w:szCs w:val="22"/>
        </w:rPr>
        <w:t xml:space="preserve">That separation — facts, then evidence, then reasoning, then decision support — is the central idea running through this entire document, and the direct answer to the failure pattern identified in Section 1: systems that hand back a verdict with no case file behind it. Our system is a working prototype, built on a small synthetic dataset, with clearly stated limitations — but the architecture underneath it is built to scale toward real investigation workloads, not just toward a better-looking score.</w:t>
      </w:r>
    </w:p>
    <w:p>
      <w:pPr>
        <w:spacing w:after="300"/>
      </w:pPr>
    </w:p>
    <w:p>
      <w:pPr>
        <w:spacing w:after="160" w:line="300"/>
        <w:jc w:val="both"/>
      </w:pPr>
      <w:r>
        <w:rPr>
          <w:i/>
          <w:iCs/>
          <w:color w:val="595959"/>
          <w:sz w:val="22"/>
          <w:szCs w:val="22"/>
        </w:rPr>
        <w:t xml:space="preserve">This document reflects the FinSight prototype as implemented at the time of writing, including corrections made after direct inspection of the underlying codebase.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FinSight — From Anomaly to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2026-09-13T08:34:58.958Z</dcterms:created>
  <dcterms:modified xsi:type="dcterms:W3CDTF">2026-09-13T08:34:58.958Z</dcterms:modified>
</cp:coreProperties>
</file>

<file path=docProps/custom.xml><?xml version="1.0" encoding="utf-8"?>
<Properties xmlns="http://schemas.openxmlformats.org/officeDocument/2006/custom-properties" xmlns:vt="http://schemas.openxmlformats.org/officeDocument/2006/docPropsVTypes"/>
</file>