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3C42C" w14:textId="16A3F745" w:rsidR="009D6E0B" w:rsidRPr="009D6E0B" w:rsidRDefault="009D6E0B" w:rsidP="009D6E0B">
      <w:pPr>
        <w:rPr>
          <w:b/>
          <w:bCs/>
        </w:rPr>
      </w:pPr>
      <w:r w:rsidRPr="009D6E0B">
        <w:rPr>
          <w:b/>
          <w:bCs/>
        </w:rPr>
        <w:t>Instrukcja do badania</w:t>
      </w:r>
    </w:p>
    <w:p w14:paraId="737F9B5F" w14:textId="4695F44F" w:rsidR="009D6E0B" w:rsidRDefault="009D6E0B" w:rsidP="009D6E0B">
      <w:pPr>
        <w:jc w:val="both"/>
      </w:pPr>
      <w:r>
        <w:t xml:space="preserve">Celem badania jest zbadanie procesu uczenia się zasad gry przez uczestnika. </w:t>
      </w:r>
      <w:r>
        <w:t>Badanie</w:t>
      </w:r>
      <w:r>
        <w:t xml:space="preserve"> składa się z trzech</w:t>
      </w:r>
      <w:r>
        <w:t xml:space="preserve"> gier</w:t>
      </w:r>
      <w:r>
        <w:t xml:space="preserve">, które uczestnik wykonuje kolejno, zaczynając od </w:t>
      </w:r>
      <w:r>
        <w:t>gry</w:t>
      </w:r>
      <w:r>
        <w:t xml:space="preserve"> 1. Każdy etap ma inne zasady, które użytkownik musi odkryć samodzielnie. Po zakończeniu każdego etapu uczestnik powinien zrobić krótką przerwę przed przejściem do kolejne</w:t>
      </w:r>
      <w:r>
        <w:t>j gry</w:t>
      </w:r>
      <w:r>
        <w:t xml:space="preserve">. </w:t>
      </w:r>
    </w:p>
    <w:p w14:paraId="7E58B188" w14:textId="36E1C261" w:rsidR="009D6E0B" w:rsidRDefault="009D6E0B" w:rsidP="009D6E0B">
      <w:pPr>
        <w:jc w:val="both"/>
      </w:pPr>
    </w:p>
    <w:p w14:paraId="08D9C7C4" w14:textId="61EB14F4" w:rsidR="009D6E0B" w:rsidRDefault="009D6E0B" w:rsidP="009D6E0B">
      <w:pPr>
        <w:jc w:val="both"/>
      </w:pPr>
      <w:r>
        <w:t xml:space="preserve">Podczas badania zostanie założony </w:t>
      </w:r>
      <w:proofErr w:type="spellStart"/>
      <w:r>
        <w:t>okulograf</w:t>
      </w:r>
      <w:proofErr w:type="spellEnd"/>
      <w:r>
        <w:t>, który pozwoli na śledzenie ruchów gałek ocznych uczestnika. Analiza ta pomoże lepiej zrozumieć, na co uczestni</w:t>
      </w:r>
      <w:r>
        <w:t>k</w:t>
      </w:r>
      <w:r>
        <w:t xml:space="preserve"> zwraca uwagę podczas odkrywania zasad gry. Prosimy skupić się na odkrywaniu zasad, a nie na osiągnięciu konkretnego wyniku.</w:t>
      </w:r>
    </w:p>
    <w:p w14:paraId="0B87F8FE" w14:textId="77777777" w:rsidR="009D6E0B" w:rsidRDefault="009D6E0B" w:rsidP="009D6E0B">
      <w:pPr>
        <w:jc w:val="both"/>
      </w:pPr>
    </w:p>
    <w:p w14:paraId="0310FDE5" w14:textId="6EF7C940" w:rsidR="00D6581A" w:rsidRPr="00D6581A" w:rsidRDefault="009D6E0B" w:rsidP="00D6581A">
      <w:pPr>
        <w:rPr>
          <w:b/>
          <w:bCs/>
        </w:rPr>
      </w:pPr>
      <w:r w:rsidRPr="009D6E0B">
        <w:rPr>
          <w:b/>
          <w:bCs/>
        </w:rPr>
        <w:t>Przebieg badania</w:t>
      </w:r>
      <w:r w:rsidR="00D6581A">
        <w:br/>
        <w:t xml:space="preserve">1. </w:t>
      </w:r>
      <w:r>
        <w:t xml:space="preserve">Na początku zostanie założony </w:t>
      </w:r>
      <w:proofErr w:type="spellStart"/>
      <w:r>
        <w:t>okulograf</w:t>
      </w:r>
      <w:proofErr w:type="spellEnd"/>
      <w:r>
        <w:t xml:space="preserve"> i przeprowadzona kalibracja.</w:t>
      </w:r>
    </w:p>
    <w:p w14:paraId="4AAFC236" w14:textId="29B0EC97" w:rsidR="009D6E0B" w:rsidRDefault="009D6E0B" w:rsidP="009D6E0B">
      <w:pPr>
        <w:jc w:val="both"/>
      </w:pPr>
      <w:r>
        <w:t xml:space="preserve">2. Uczestnik rozpocznie od </w:t>
      </w:r>
      <w:r>
        <w:t>gry</w:t>
      </w:r>
      <w:r>
        <w:t xml:space="preserve"> 1 i po je</w:t>
      </w:r>
      <w:r>
        <w:t>j</w:t>
      </w:r>
      <w:r>
        <w:t xml:space="preserve"> zakończeniu wykona przerwę, a następnie przejdzie do </w:t>
      </w:r>
      <w:r>
        <w:t>gry</w:t>
      </w:r>
      <w:r>
        <w:t xml:space="preserve"> 2 i 3, także z przerwami pomię</w:t>
      </w:r>
      <w:r>
        <w:t>dzy nimi</w:t>
      </w:r>
      <w:r>
        <w:t>.</w:t>
      </w:r>
    </w:p>
    <w:p w14:paraId="53BA69E2" w14:textId="77777777" w:rsidR="009D6E0B" w:rsidRDefault="009D6E0B" w:rsidP="009D6E0B">
      <w:pPr>
        <w:jc w:val="both"/>
      </w:pPr>
      <w:r>
        <w:t>3. Proszę pamiętać, aby nie pytać o zasady gry – ich odkrycie jest częścią zadania.</w:t>
      </w:r>
    </w:p>
    <w:p w14:paraId="5948BAD7" w14:textId="77777777" w:rsidR="009D6E0B" w:rsidRDefault="009D6E0B" w:rsidP="009D6E0B">
      <w:pPr>
        <w:jc w:val="both"/>
      </w:pPr>
    </w:p>
    <w:p w14:paraId="1E0C9D09" w14:textId="5634A764" w:rsidR="009D6E0B" w:rsidRPr="009D6E0B" w:rsidRDefault="009D6E0B" w:rsidP="009D6E0B">
      <w:pPr>
        <w:jc w:val="both"/>
        <w:rPr>
          <w:b/>
          <w:bCs/>
        </w:rPr>
      </w:pPr>
      <w:r w:rsidRPr="009D6E0B">
        <w:rPr>
          <w:b/>
          <w:bCs/>
        </w:rPr>
        <w:t>Przygotowanie do badania</w:t>
      </w:r>
    </w:p>
    <w:p w14:paraId="12B07179" w14:textId="66F4415B" w:rsidR="009D6E0B" w:rsidRDefault="009D6E0B" w:rsidP="009D6E0B">
      <w:pPr>
        <w:jc w:val="both"/>
      </w:pPr>
      <w:r>
        <w:t>1</w:t>
      </w:r>
      <w:r>
        <w:t>. Uczestnik powinien siedzieć wygodnie, a ekran powinien być wyraźnie widoczny.</w:t>
      </w:r>
    </w:p>
    <w:p w14:paraId="15FDDF4A" w14:textId="3385A1C1" w:rsidR="009D6E0B" w:rsidRDefault="009D6E0B" w:rsidP="009D6E0B">
      <w:pPr>
        <w:jc w:val="both"/>
      </w:pPr>
      <w:r>
        <w:t>2</w:t>
      </w:r>
      <w:r>
        <w:t xml:space="preserve">. Podczas kalibracji uczestnik będzie proszony o skupienie wzroku na punktach na ekranie, aby dokładnie ustawić </w:t>
      </w:r>
      <w:proofErr w:type="spellStart"/>
      <w:r>
        <w:t>okulograf</w:t>
      </w:r>
      <w:proofErr w:type="spellEnd"/>
      <w:r>
        <w:t>.</w:t>
      </w:r>
    </w:p>
    <w:p w14:paraId="4B748BDF" w14:textId="615BB7B8" w:rsidR="00A95F6D" w:rsidRDefault="009D6E0B" w:rsidP="009D6E0B">
      <w:pPr>
        <w:jc w:val="both"/>
      </w:pPr>
      <w:r>
        <w:t>3</w:t>
      </w:r>
      <w:r>
        <w:t xml:space="preserve">. Przed rozpoczęciem uczestnik zostanie poinformowany, że </w:t>
      </w:r>
      <w:r>
        <w:t>badanie</w:t>
      </w:r>
      <w:r>
        <w:t xml:space="preserve"> </w:t>
      </w:r>
      <w:r>
        <w:t xml:space="preserve">składa się z </w:t>
      </w:r>
      <w:r>
        <w:t xml:space="preserve"> 3 </w:t>
      </w:r>
      <w:r>
        <w:t>gier</w:t>
      </w:r>
      <w:r>
        <w:t xml:space="preserve"> i powinien robić przerwy między </w:t>
      </w:r>
      <w:proofErr w:type="spellStart"/>
      <w:r>
        <w:t>każd</w:t>
      </w:r>
      <w:r>
        <w:t>ą</w:t>
      </w:r>
      <w:r>
        <w:t>z</w:t>
      </w:r>
      <w:proofErr w:type="spellEnd"/>
      <w:r>
        <w:t xml:space="preserve"> nich.</w:t>
      </w:r>
    </w:p>
    <w:sectPr w:rsidR="00A95F6D" w:rsidSect="009D6E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55B47"/>
    <w:multiLevelType w:val="hybridMultilevel"/>
    <w:tmpl w:val="D3027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26E6A"/>
    <w:multiLevelType w:val="hybridMultilevel"/>
    <w:tmpl w:val="DBEA5E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370251">
    <w:abstractNumId w:val="1"/>
  </w:num>
  <w:num w:numId="2" w16cid:durableId="158534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0B"/>
    <w:rsid w:val="001050D0"/>
    <w:rsid w:val="004143C0"/>
    <w:rsid w:val="005F5AC0"/>
    <w:rsid w:val="006D4D9E"/>
    <w:rsid w:val="009D6E0B"/>
    <w:rsid w:val="00A95F6D"/>
    <w:rsid w:val="00D6581A"/>
    <w:rsid w:val="00F3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6B74"/>
  <w15:chartTrackingRefBased/>
  <w15:docId w15:val="{4EDAC632-DC40-48BE-BDB8-E2DB430F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D6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D6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D6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D6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D6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D6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D6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D6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D6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6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D6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D6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D6E0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D6E0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D6E0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D6E0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D6E0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D6E0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D6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6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D6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D6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D6E0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D6E0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D6E0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D6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D6E0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D6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Warpachowicz</dc:creator>
  <cp:keywords/>
  <dc:description/>
  <cp:lastModifiedBy>Krzysztof Warpachowicz</cp:lastModifiedBy>
  <cp:revision>1</cp:revision>
  <dcterms:created xsi:type="dcterms:W3CDTF">2024-10-30T13:54:00Z</dcterms:created>
  <dcterms:modified xsi:type="dcterms:W3CDTF">2024-10-30T14:10:00Z</dcterms:modified>
</cp:coreProperties>
</file>