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D832C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kern w:val="44"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重庆邮电大学本科毕业设计（论文）任务书</w:t>
      </w:r>
    </w:p>
    <w:tbl>
      <w:tblPr>
        <w:tblStyle w:val="4"/>
        <w:tblW w:w="895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277"/>
        <w:gridCol w:w="26"/>
        <w:gridCol w:w="1275"/>
        <w:gridCol w:w="3177"/>
      </w:tblGrid>
      <w:tr w14:paraId="67471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DF798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目</w:t>
            </w:r>
          </w:p>
        </w:tc>
        <w:tc>
          <w:tcPr>
            <w:tcW w:w="77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03611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基于SpringBoot和Vue的车险理赔预测系统设计与实现</w:t>
            </w:r>
          </w:p>
        </w:tc>
      </w:tr>
      <w:tr w14:paraId="0DFA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00" w:type="dxa"/>
            <w:vAlign w:val="center"/>
          </w:tcPr>
          <w:p w14:paraId="2E713116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3303" w:type="dxa"/>
            <w:gridSpan w:val="2"/>
            <w:vAlign w:val="center"/>
          </w:tcPr>
          <w:p w14:paraId="4774E917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钱信宇</w:t>
            </w:r>
          </w:p>
        </w:tc>
        <w:tc>
          <w:tcPr>
            <w:tcW w:w="1275" w:type="dxa"/>
            <w:vAlign w:val="center"/>
          </w:tcPr>
          <w:p w14:paraId="6B1EF7DC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3177" w:type="dxa"/>
            <w:vAlign w:val="center"/>
          </w:tcPr>
          <w:p w14:paraId="1E17B15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2022211756</w:t>
            </w:r>
          </w:p>
        </w:tc>
      </w:tr>
      <w:tr w14:paraId="2BC1C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00" w:type="dxa"/>
            <w:vAlign w:val="center"/>
          </w:tcPr>
          <w:p w14:paraId="63F7C37E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3303" w:type="dxa"/>
            <w:gridSpan w:val="2"/>
            <w:vAlign w:val="center"/>
          </w:tcPr>
          <w:p w14:paraId="3313A040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丁晓宇</w:t>
            </w:r>
          </w:p>
        </w:tc>
        <w:tc>
          <w:tcPr>
            <w:tcW w:w="1275" w:type="dxa"/>
            <w:vAlign w:val="center"/>
          </w:tcPr>
          <w:p w14:paraId="12F78B2C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3177" w:type="dxa"/>
            <w:vAlign w:val="center"/>
          </w:tcPr>
          <w:p w14:paraId="3DA2DB3F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人工智能学院</w:t>
            </w:r>
          </w:p>
        </w:tc>
      </w:tr>
      <w:tr w14:paraId="582D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00" w:type="dxa"/>
            <w:shd w:val="clear" w:color="auto" w:fill="F8F8F8"/>
            <w:vAlign w:val="center"/>
          </w:tcPr>
          <w:p w14:paraId="43C54908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题目类型</w:t>
            </w:r>
          </w:p>
        </w:tc>
        <w:tc>
          <w:tcPr>
            <w:tcW w:w="7755" w:type="dxa"/>
            <w:gridSpan w:val="4"/>
            <w:vAlign w:val="center"/>
          </w:tcPr>
          <w:p w14:paraId="028F8D5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毕业论文</w:t>
            </w:r>
          </w:p>
        </w:tc>
      </w:tr>
      <w:tr w14:paraId="5EAE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955" w:type="dxa"/>
            <w:gridSpan w:val="5"/>
            <w:shd w:val="clear" w:color="auto" w:fill="F8F8F8"/>
            <w:vAlign w:val="center"/>
          </w:tcPr>
          <w:p w14:paraId="656E974A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是否需要在实验、实习、工程实践和社会调查等社会实践中完成（</w:t>
            </w:r>
            <w:r>
              <w:rPr>
                <w:rFonts w:cs="等线" w:asciiTheme="minorEastAsia" w:hAnsiTheme="minorEastAsia" w:eastAsiaTheme="minorEastAsia"/>
                <w:sz w:val="24"/>
              </w:rPr>
              <w:t>是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）</w:t>
            </w:r>
          </w:p>
        </w:tc>
      </w:tr>
      <w:tr w14:paraId="48FF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76EEFA28">
            <w:pPr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一、研究目标</w:t>
            </w:r>
          </w:p>
        </w:tc>
      </w:tr>
      <w:tr w14:paraId="0B7B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55" w:type="dxa"/>
            <w:gridSpan w:val="5"/>
            <w:shd w:val="clear" w:color="auto" w:fill="FFFFFF" w:themeFill="background1"/>
            <w:vAlign w:val="bottom"/>
          </w:tcPr>
          <w:p w14:paraId="2FCCED3A">
            <w:pPr>
              <w:pStyle w:val="8"/>
            </w:pPr>
            <w:bookmarkStart w:id="0" w:name="_GoBack"/>
            <w:bookmarkEnd w:id="0"/>
            <w:r>
              <w:t>本课题旨在设计并实现一个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基于SpringBoot和Vue的车险理赔预测系统</w:t>
            </w:r>
            <w:r>
              <w:t>。系统采用前后端分离架构，后端使用Spring Boot和MySQL完成业务数据管理，前端使用Vue3完成交互界面展示，同时引入深度学习预测模块用于辅助进行核心预测任务。系统以业务管理功能为主体，预测功能为辅助，实现一个可运行的应用型系统原型。</w:t>
            </w:r>
          </w:p>
          <w:p w14:paraId="33BCA012">
            <w:pPr>
              <w:pStyle w:val="8"/>
            </w:pPr>
            <w:r>
              <w:t xml:space="preserve"> 在业务层面，需要完成系统的业务需求分析、数据库设计和后端接口开发。后端负责车辆信息、保单数据与理赔记录构成本系统的主要业务数据。后端需实现增删改查、统计分析与条件筛选等功能。</w:t>
            </w:r>
          </w:p>
          <w:p w14:paraId="300CD55E">
            <w:pPr>
              <w:pStyle w:val="8"/>
            </w:pPr>
            <w:r>
              <w:t xml:space="preserve"> 在UI层面，需要使用Vue3和Element Plus构建界面，提供数据展示、条件查询、分页浏览以及结果可视化等交互功能，确保系统具备良好的可用性。</w:t>
            </w:r>
          </w:p>
          <w:p w14:paraId="091C236B">
            <w:pPr>
              <w:pStyle w:val="8"/>
            </w:pPr>
            <w:r>
              <w:t>深度学习模块作为系统的辅助功能，主要任务是基于公开车险数据集，采用MLP模型训练理赔率预测模型，通过FastAPI接口实现预测功能。</w:t>
            </w:r>
          </w:p>
          <w:p w14:paraId="6137373A">
            <w:pPr>
              <w:pStyle w:val="8"/>
            </w:pPr>
            <w:r>
              <w:t xml:space="preserve"> 系统至少应包含以下核心模块：</w:t>
            </w:r>
          </w:p>
          <w:p w14:paraId="2B9DF11D">
            <w:pPr>
              <w:pStyle w:val="8"/>
            </w:pPr>
            <w:r>
              <w:t>（1）车辆信息管理模块：维护车辆基础信息，包括车型、年限等内容。</w:t>
            </w:r>
          </w:p>
          <w:p w14:paraId="2435D286">
            <w:pPr>
              <w:pStyle w:val="8"/>
            </w:pPr>
            <w:r>
              <w:t>（2）保单信息管理模块：管理车险保单数据，支持查询与统计。</w:t>
            </w:r>
          </w:p>
          <w:p w14:paraId="171EB468">
            <w:pPr>
              <w:pStyle w:val="8"/>
            </w:pPr>
            <w:r>
              <w:t>（3）理赔记录管理模块：记录理赔信息，并提供理赔情况统计功能。</w:t>
            </w:r>
          </w:p>
          <w:p w14:paraId="6597310A">
            <w:pPr>
              <w:pStyle w:val="8"/>
            </w:pPr>
            <w:r>
              <w:t>（4）理赔率预测与统计可视化模块：基于深度学习模型进行理赔率预测，提供图表展示。</w:t>
            </w:r>
          </w:p>
        </w:tc>
      </w:tr>
      <w:tr w14:paraId="4B81C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2309D6CA">
            <w:pPr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二、主要研究内容和方法</w:t>
            </w:r>
          </w:p>
        </w:tc>
      </w:tr>
      <w:tr w14:paraId="7050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3" w:hRule="atLeast"/>
          <w:jc w:val="center"/>
        </w:trPr>
        <w:tc>
          <w:tcPr>
            <w:tcW w:w="8955" w:type="dxa"/>
            <w:gridSpan w:val="5"/>
          </w:tcPr>
          <w:p w14:paraId="2CEF337A">
            <w:pPr>
              <w:pStyle w:val="9"/>
            </w:pPr>
            <w:r>
              <w:t>（1）系统需求分析</w:t>
            </w:r>
          </w:p>
          <w:p w14:paraId="0835B3EB">
            <w:pPr>
              <w:pStyle w:val="9"/>
            </w:pPr>
            <w:r>
              <w:t>围绕系统业务流程，分析系统的功能需求，完成模块划分、数据库结构设计和系统总体架构方案制定。</w:t>
            </w:r>
          </w:p>
          <w:p w14:paraId="2AD81BA4">
            <w:pPr>
              <w:pStyle w:val="9"/>
            </w:pPr>
            <w:r>
              <w:t>（2）深度学习模型研究与训练</w:t>
            </w:r>
          </w:p>
          <w:p w14:paraId="7536FD21">
            <w:pPr>
              <w:pStyle w:val="9"/>
            </w:pPr>
            <w:r>
              <w:t>基于公开数据集进行数据清洗、编码及标准化操作，构建并训练MLP模型，实现基础预测能力。</w:t>
            </w:r>
          </w:p>
          <w:p w14:paraId="2F0560B7">
            <w:pPr>
              <w:pStyle w:val="9"/>
            </w:pPr>
            <w:r>
              <w:t>（3）性能分析</w:t>
            </w:r>
          </w:p>
          <w:p w14:paraId="3F75854A">
            <w:pPr>
              <w:pStyle w:val="9"/>
            </w:pPr>
            <w:r>
              <w:t>通过准确率、召回率、均方误差等指标评估模型性能，同时测试系统稳定性与预测接口响应速度。</w:t>
            </w:r>
          </w:p>
          <w:p w14:paraId="3A1D9F0D">
            <w:pPr>
              <w:pStyle w:val="9"/>
            </w:pPr>
            <w:r>
              <w:t>（4）系统实现</w:t>
            </w:r>
          </w:p>
          <w:p w14:paraId="0E4EEC96">
            <w:pPr>
              <w:pStyle w:val="9"/>
            </w:pPr>
            <w:r>
              <w:t>使用Spring Boot与MyBatis构建后端，使用Vue3实现前端界面，使用FastAPI部署预测服务，并实现前后端联调。</w:t>
            </w:r>
          </w:p>
          <w:p w14:paraId="0DE63EDD">
            <w:pPr>
              <w:pStyle w:val="9"/>
            </w:pPr>
            <w:r>
              <w:t>（5）相关工具与环境</w:t>
            </w:r>
          </w:p>
          <w:p w14:paraId="4D904100">
            <w:pPr>
              <w:pStyle w:val="9"/>
            </w:pPr>
            <w:r>
              <w:t>系统采用MySQL作为数据存储，后端使用Spring Boot和MyBatis，前端使用Vue3与Element Plus，预测模型使用Python与FastAPI部署。</w:t>
            </w:r>
          </w:p>
        </w:tc>
      </w:tr>
      <w:tr w14:paraId="3953E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6C41F4A9">
            <w:pPr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三、主要考核要求或指标</w:t>
            </w:r>
          </w:p>
        </w:tc>
      </w:tr>
      <w:tr w14:paraId="1579E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0" w:hRule="atLeast"/>
          <w:jc w:val="center"/>
        </w:trPr>
        <w:tc>
          <w:tcPr>
            <w:tcW w:w="8955" w:type="dxa"/>
            <w:gridSpan w:val="5"/>
          </w:tcPr>
          <w:p w14:paraId="24420145">
            <w:pPr>
              <w:pStyle w:val="10"/>
            </w:pPr>
            <w:r>
              <w:t>（1）能够完成系统的基础需求分析与总体设计，明确业务流程、模块结构和数据库设计方案，保证系统架构清晰、功能划分合理。</w:t>
            </w:r>
          </w:p>
          <w:p w14:paraId="4449A2D6">
            <w:pPr>
              <w:pStyle w:val="10"/>
            </w:pPr>
            <w:r>
              <w:t>（2）能够基于公开车险数据集构建并训练一个简单的深度学习预测模型，并对模型性能进行基本评估，使预测功能能够满足系统的实际调用需求。</w:t>
            </w:r>
          </w:p>
          <w:p w14:paraId="5F6D1AB3">
            <w:pPr>
              <w:pStyle w:val="10"/>
            </w:pPr>
            <w:r>
              <w:t>（3）能够实现核心业务模块，保证相关功能的增删改查、查询统计等操作正常运行。</w:t>
            </w:r>
          </w:p>
          <w:p w14:paraId="3BA2A9DF">
            <w:pPr>
              <w:pStyle w:val="10"/>
            </w:pPr>
            <w:r>
              <w:t>（4）能够实现前后端分离的系统构建，前端界面可正常展示业务数据并与后端服务交互，预测结果能够通过前端界面完成展示和可视化。</w:t>
            </w:r>
          </w:p>
          <w:p w14:paraId="116FBC00">
            <w:pPr>
              <w:pStyle w:val="10"/>
            </w:pPr>
            <w:r>
              <w:t>（5）能够完成系统的整体联调与功能测试，确保各模块之间的数据传递和接口调用正确，系统运行稳定，满足应用型课题的基本功能要求。</w:t>
            </w:r>
          </w:p>
        </w:tc>
      </w:tr>
      <w:tr w14:paraId="106C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0100A2A9">
            <w:pPr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四、主要参考文献</w:t>
            </w:r>
          </w:p>
        </w:tc>
      </w:tr>
      <w:tr w14:paraId="14EA6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7" w:hRule="atLeast"/>
          <w:jc w:val="center"/>
        </w:trPr>
        <w:tc>
          <w:tcPr>
            <w:tcW w:w="8955" w:type="dxa"/>
            <w:gridSpan w:val="5"/>
          </w:tcPr>
          <w:p w14:paraId="6BE87C68">
            <w:pPr>
              <w:pStyle w:val="11"/>
            </w:pPr>
            <w:r>
              <w:t xml:space="preserve">[1]陈浩铭, 赵月旭. 基于Stacking融合模型的汽车保险诈骗分析[J]. 统计学与应用, 2024, 13(4): 1329-1338. </w:t>
            </w:r>
          </w:p>
          <w:p w14:paraId="60294BE2">
            <w:pPr>
              <w:pStyle w:val="11"/>
            </w:pPr>
            <w:r>
              <w:t>[2]蒋翠清, 王香香, 王钊. 基于消费者关注度的汽车销量预测方法研究[J]. 数据分析与知识发现, 2021, 5(1): 128-139.</w:t>
            </w:r>
          </w:p>
          <w:p w14:paraId="7B6C6F09">
            <w:pPr>
              <w:pStyle w:val="11"/>
            </w:pPr>
            <w:r>
              <w:t>[3]徐英卓, 郭博, 王六鹏. 基于GBDT算法的游戏销量预测模型研究[J]. 智能计算机与应用, 2023, 13(1): 182-185.</w:t>
            </w:r>
          </w:p>
          <w:p w14:paraId="2B4B073F">
            <w:pPr>
              <w:pStyle w:val="11"/>
            </w:pPr>
            <w:r>
              <w:t>[4]袁瑞萍, 魏辉, 傅之家, 等. 融合CNN和WDF模型的电商企业商品销量预测研究[J]. Journal of Computer Engineering &amp; Applications, 2025, 61(2): 335-343.</w:t>
            </w:r>
          </w:p>
          <w:p w14:paraId="344C801F">
            <w:pPr>
              <w:pStyle w:val="11"/>
            </w:pPr>
            <w:r>
              <w:t>[5]段昊江, 吴冰. 多变量乘用车销量预测模型研究[J]. Automotive Digest, 2023 (12): 55-62.</w:t>
            </w:r>
          </w:p>
        </w:tc>
      </w:tr>
      <w:tr w14:paraId="1E2B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4477" w:type="dxa"/>
            <w:gridSpan w:val="2"/>
            <w:tcBorders>
              <w:right w:val="nil"/>
            </w:tcBorders>
            <w:vAlign w:val="center"/>
          </w:tcPr>
          <w:p w14:paraId="00880C85">
            <w:pPr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指导教师签字：</w:t>
            </w:r>
            <w:r>
              <w:rPr>
                <w:rFonts w:ascii="宋体" w:hAnsi="宋体"/>
                <w:kern w:val="0"/>
                <w:sz w:val="24"/>
              </w:rPr>
              <w:drawing>
                <wp:inline distT="0" distB="0" distL="0" distR="0">
                  <wp:extent cx="571500" cy="285750"/>
                  <wp:effectExtent l="0" t="0" r="0" b="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kern w:val="0"/>
                <w:sz w:val="24"/>
              </w:rPr>
              <w:t xml:space="preserve">                   </w:t>
            </w:r>
          </w:p>
        </w:tc>
        <w:tc>
          <w:tcPr>
            <w:tcW w:w="4478" w:type="dxa"/>
            <w:gridSpan w:val="3"/>
            <w:tcBorders>
              <w:left w:val="nil"/>
            </w:tcBorders>
            <w:vAlign w:val="center"/>
          </w:tcPr>
          <w:p w14:paraId="7E55019C">
            <w:pPr>
              <w:ind w:firstLine="960" w:firstLineChars="400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2025</w:t>
            </w:r>
            <w:r>
              <w:rPr>
                <w:rFonts w:ascii="宋体" w:hAnsi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/>
                <w:kern w:val="0"/>
                <w:sz w:val="24"/>
              </w:rPr>
              <w:t>年</w:t>
            </w:r>
            <w:r>
              <w:rPr>
                <w:rFonts w:ascii="宋体"/>
                <w:kern w:val="0"/>
                <w:sz w:val="24"/>
              </w:rPr>
              <w:t>12</w:t>
            </w:r>
            <w:r>
              <w:rPr>
                <w:rFonts w:ascii="宋体" w:hAnsi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14</w:t>
            </w:r>
            <w:r>
              <w:rPr>
                <w:rFonts w:hint="eastAsia" w:ascii="宋体" w:hAnsi="宋体"/>
                <w:kern w:val="0"/>
                <w:sz w:val="24"/>
              </w:rPr>
              <w:t>日</w:t>
            </w:r>
          </w:p>
        </w:tc>
      </w:tr>
      <w:tr w14:paraId="61C22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6" w:hRule="atLeast"/>
          <w:jc w:val="center"/>
        </w:trPr>
        <w:tc>
          <w:tcPr>
            <w:tcW w:w="8955" w:type="dxa"/>
            <w:gridSpan w:val="5"/>
          </w:tcPr>
          <w:p w14:paraId="62EB3CCB">
            <w:pPr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系部负责人意见：</w:t>
            </w:r>
          </w:p>
          <w:p w14:paraId="75881E05">
            <w:pPr>
              <w:rPr>
                <w:rFonts w:cs="等线" w:asciiTheme="minorEastAsia" w:hAnsiTheme="minorEastAsia" w:eastAsiaTheme="minorEastAsia"/>
                <w:sz w:val="24"/>
              </w:rPr>
            </w:pPr>
          </w:p>
          <w:p w14:paraId="01F4A3B3">
            <w:pPr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ascii="Segoe UI Symbol" w:hAnsi="Segoe UI Symbol" w:cs="Segoe UI Symbol" w:eastAsiaTheme="minorEastAsia"/>
                <w:sz w:val="24"/>
              </w:rPr>
              <w:t>☑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同意立题</w:t>
            </w:r>
          </w:p>
          <w:p w14:paraId="2138C380">
            <w:pPr>
              <w:ind w:firstLine="480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□不同意立题</w:t>
            </w:r>
          </w:p>
          <w:p w14:paraId="19B0C532">
            <w:pPr>
              <w:ind w:firstLine="480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2D89C26B">
            <w:pPr>
              <w:ind w:firstLine="480"/>
              <w:rPr>
                <w:rFonts w:cs="等线" w:asciiTheme="minorEastAsia" w:hAnsiTheme="minorEastAsia" w:eastAsiaTheme="minorEastAsia"/>
                <w:sz w:val="24"/>
              </w:rPr>
            </w:pPr>
          </w:p>
          <w:tbl>
            <w:tblPr>
              <w:tblStyle w:val="4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6"/>
              <w:gridCol w:w="1818"/>
              <w:gridCol w:w="482"/>
            </w:tblGrid>
            <w:tr w14:paraId="6D35383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38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8F43FA4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cs="等线" w:asciiTheme="minorEastAsia" w:hAnsiTheme="minorEastAsia" w:eastAsiaTheme="minorEastAsia"/>
                      <w:sz w:val="24"/>
                    </w:rPr>
                    <w:t>负责人</w:t>
                  </w:r>
                  <w:r>
                    <w:rPr>
                      <w:rFonts w:hint="eastAsia" w:ascii="宋体" w:hAnsi="宋体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300" w:type="dxa"/>
                  <w:gridSpan w:val="2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D3A35F7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cs="等线" w:asciiTheme="minorEastAsia" w:hAnsiTheme="minorEastAsia" w:eastAsiaTheme="minorEastAsia"/>
                      <w:sz w:val="24"/>
                    </w:rPr>
                    <w:drawing>
                      <wp:inline distT="0" distB="0" distL="0" distR="0">
                        <wp:extent cx="571500" cy="285750"/>
                        <wp:effectExtent l="0" t="0" r="0" b="0"/>
                        <wp:docPr id="2" name="Drawing 2" descr="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Drawing 2" descr="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6926C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482" w:type="dxa"/>
                <w:trHeight w:val="578" w:hRule="atLeast"/>
                <w:jc w:val="right"/>
              </w:trPr>
              <w:tc>
                <w:tcPr>
                  <w:tcW w:w="3204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DB9AC8F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cs="等线" w:asciiTheme="minorEastAsia" w:hAnsiTheme="minorEastAsia" w:eastAsiaTheme="minorEastAsia"/>
                      <w:sz w:val="24"/>
                    </w:rPr>
                    <w:t>2025年12月</w:t>
                  </w:r>
                  <w:r>
                    <w:rPr>
                      <w:rFonts w:hint="eastAsia" w:cs="等线" w:asciiTheme="minorEastAsia" w:hAnsiTheme="minorEastAsia" w:eastAsiaTheme="minorEastAsia"/>
                      <w:sz w:val="24"/>
                      <w:lang w:val="en-US" w:eastAsia="zh-CN"/>
                    </w:rPr>
                    <w:t>16</w:t>
                  </w:r>
                  <w:r>
                    <w:rPr>
                      <w:rFonts w:cs="等线" w:asciiTheme="minorEastAsia" w:hAnsiTheme="minorEastAsia" w:eastAsiaTheme="minorEastAsia"/>
                      <w:sz w:val="24"/>
                    </w:rPr>
                    <w:t>日</w:t>
                  </w:r>
                </w:p>
              </w:tc>
            </w:tr>
          </w:tbl>
          <w:p w14:paraId="7C0B8A36">
            <w:pPr>
              <w:rPr>
                <w:rFonts w:cs="等线" w:asciiTheme="minorEastAsia" w:hAnsiTheme="minorEastAsia" w:eastAsiaTheme="minorEastAsia"/>
                <w:sz w:val="24"/>
              </w:rPr>
            </w:pPr>
          </w:p>
        </w:tc>
      </w:tr>
    </w:tbl>
    <w:p w14:paraId="70C41AF8">
      <w:pPr>
        <w:ind w:left="720" w:right="-193" w:rightChars="-92" w:hanging="720" w:hangingChars="300"/>
        <w:rPr>
          <w:sz w:val="24"/>
        </w:rPr>
      </w:pPr>
      <w:r>
        <w:rPr>
          <w:rFonts w:hint="eastAsia"/>
          <w:sz w:val="24"/>
        </w:rPr>
        <w:t>备注：</w:t>
      </w:r>
      <w:r>
        <w:rPr>
          <w:sz w:val="24"/>
        </w:rPr>
        <w:t>1.</w:t>
      </w:r>
      <w:r>
        <w:rPr>
          <w:rFonts w:hint="eastAsia"/>
          <w:sz w:val="24"/>
        </w:rPr>
        <w:t>此任务书由指导教师填写，并于毕业设计（论文）选题结束后尽快下达给学生。</w:t>
      </w:r>
    </w:p>
    <w:p w14:paraId="2E4B843F">
      <w:pPr>
        <w:ind w:left="720" w:right="-193" w:rightChars="-92" w:hanging="720" w:hangingChars="300"/>
        <w:rPr>
          <w:sz w:val="24"/>
        </w:rPr>
      </w:pPr>
      <w:r>
        <w:rPr>
          <w:sz w:val="24"/>
        </w:rPr>
        <w:t xml:space="preserve">      2.</w:t>
      </w:r>
      <w:r>
        <w:rPr>
          <w:rFonts w:hint="eastAsia"/>
          <w:sz w:val="24"/>
        </w:rPr>
        <w:t>任务书一经审定，指导教师和学生不得随意更改，如因特殊情况确需变更，应在完成开题报告之前，填写《重庆邮电大学毕业设计（论文）更改题目审批表》，报专业负责人审核、学院复核批准后执行，并报教务处备案。</w:t>
      </w:r>
    </w:p>
    <w:p w14:paraId="221D2AF2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4D1"/>
    <w:rsid w:val="00014102"/>
    <w:rsid w:val="00021C33"/>
    <w:rsid w:val="000264AC"/>
    <w:rsid w:val="00053A69"/>
    <w:rsid w:val="00081B2F"/>
    <w:rsid w:val="000B4F68"/>
    <w:rsid w:val="00116327"/>
    <w:rsid w:val="001171BF"/>
    <w:rsid w:val="00182D43"/>
    <w:rsid w:val="001856C6"/>
    <w:rsid w:val="002232F3"/>
    <w:rsid w:val="002654CA"/>
    <w:rsid w:val="00277BE4"/>
    <w:rsid w:val="002C1975"/>
    <w:rsid w:val="00310DDF"/>
    <w:rsid w:val="00332D04"/>
    <w:rsid w:val="00376436"/>
    <w:rsid w:val="003920C7"/>
    <w:rsid w:val="00396C45"/>
    <w:rsid w:val="003A67C8"/>
    <w:rsid w:val="003B3342"/>
    <w:rsid w:val="003C1C41"/>
    <w:rsid w:val="003C2A6C"/>
    <w:rsid w:val="003D5AAC"/>
    <w:rsid w:val="003E5F38"/>
    <w:rsid w:val="004021BB"/>
    <w:rsid w:val="004311BF"/>
    <w:rsid w:val="00444754"/>
    <w:rsid w:val="00467EC9"/>
    <w:rsid w:val="004F66A8"/>
    <w:rsid w:val="00521EB7"/>
    <w:rsid w:val="005229F6"/>
    <w:rsid w:val="005310E3"/>
    <w:rsid w:val="0054382B"/>
    <w:rsid w:val="00567988"/>
    <w:rsid w:val="00585DBE"/>
    <w:rsid w:val="005C0DF0"/>
    <w:rsid w:val="005C5DAD"/>
    <w:rsid w:val="005E59C0"/>
    <w:rsid w:val="005F216B"/>
    <w:rsid w:val="00602245"/>
    <w:rsid w:val="00603506"/>
    <w:rsid w:val="00612352"/>
    <w:rsid w:val="0062008C"/>
    <w:rsid w:val="0064260C"/>
    <w:rsid w:val="00642636"/>
    <w:rsid w:val="0065047F"/>
    <w:rsid w:val="00651ACF"/>
    <w:rsid w:val="006567D9"/>
    <w:rsid w:val="0067168F"/>
    <w:rsid w:val="0068772F"/>
    <w:rsid w:val="00694DF7"/>
    <w:rsid w:val="006A43E8"/>
    <w:rsid w:val="006C4CE8"/>
    <w:rsid w:val="006D016A"/>
    <w:rsid w:val="006D05C8"/>
    <w:rsid w:val="00702920"/>
    <w:rsid w:val="00774BB3"/>
    <w:rsid w:val="00785114"/>
    <w:rsid w:val="007D26AD"/>
    <w:rsid w:val="007D276C"/>
    <w:rsid w:val="007D29E5"/>
    <w:rsid w:val="007E335E"/>
    <w:rsid w:val="00824CC4"/>
    <w:rsid w:val="00826A26"/>
    <w:rsid w:val="008423A7"/>
    <w:rsid w:val="0085358D"/>
    <w:rsid w:val="008924B3"/>
    <w:rsid w:val="008E6451"/>
    <w:rsid w:val="009205C3"/>
    <w:rsid w:val="009446AF"/>
    <w:rsid w:val="00944DEC"/>
    <w:rsid w:val="00960A41"/>
    <w:rsid w:val="009764D1"/>
    <w:rsid w:val="009C466E"/>
    <w:rsid w:val="009D560C"/>
    <w:rsid w:val="009D6D54"/>
    <w:rsid w:val="009F41A0"/>
    <w:rsid w:val="00A07C94"/>
    <w:rsid w:val="00A409AF"/>
    <w:rsid w:val="00A420E2"/>
    <w:rsid w:val="00A74FF1"/>
    <w:rsid w:val="00A945DB"/>
    <w:rsid w:val="00AF790F"/>
    <w:rsid w:val="00B03EFA"/>
    <w:rsid w:val="00B2113F"/>
    <w:rsid w:val="00B56C12"/>
    <w:rsid w:val="00B70EC9"/>
    <w:rsid w:val="00B8012F"/>
    <w:rsid w:val="00B90B16"/>
    <w:rsid w:val="00BE7AC4"/>
    <w:rsid w:val="00BF2F13"/>
    <w:rsid w:val="00C0149D"/>
    <w:rsid w:val="00C026B8"/>
    <w:rsid w:val="00C057D9"/>
    <w:rsid w:val="00C25D42"/>
    <w:rsid w:val="00C26D59"/>
    <w:rsid w:val="00C57672"/>
    <w:rsid w:val="00C643D3"/>
    <w:rsid w:val="00C83B90"/>
    <w:rsid w:val="00C916AA"/>
    <w:rsid w:val="00CA0088"/>
    <w:rsid w:val="00CA5F9D"/>
    <w:rsid w:val="00CB1001"/>
    <w:rsid w:val="00CB595E"/>
    <w:rsid w:val="00D3529E"/>
    <w:rsid w:val="00D759B7"/>
    <w:rsid w:val="00D805BF"/>
    <w:rsid w:val="00D945C0"/>
    <w:rsid w:val="00DA684A"/>
    <w:rsid w:val="00DD1AEF"/>
    <w:rsid w:val="00DF586B"/>
    <w:rsid w:val="00E014ED"/>
    <w:rsid w:val="00E54CBC"/>
    <w:rsid w:val="00E551FC"/>
    <w:rsid w:val="00E84EC8"/>
    <w:rsid w:val="00E905F3"/>
    <w:rsid w:val="00EA11E1"/>
    <w:rsid w:val="00EC1A81"/>
    <w:rsid w:val="00ED529E"/>
    <w:rsid w:val="00F06EEB"/>
    <w:rsid w:val="00F30D28"/>
    <w:rsid w:val="00F54549"/>
    <w:rsid w:val="00FB6CDB"/>
    <w:rsid w:val="00FD6968"/>
    <w:rsid w:val="2FD94EFF"/>
    <w:rsid w:val="41B96748"/>
    <w:rsid w:val="6F8A7C6C"/>
    <w:rsid w:val="7A00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/>
      <w:sz w:val="18"/>
      <w:szCs w:val="18"/>
    </w:rPr>
  </w:style>
  <w:style w:type="character" w:customStyle="1" w:styleId="6">
    <w:name w:val="页眉 字符"/>
    <w:basedOn w:val="5"/>
    <w:link w:val="3"/>
    <w:qFormat/>
    <w:locked/>
    <w:uiPriority w:val="99"/>
    <w:rPr>
      <w:rFonts w:cs="Times New Roman"/>
      <w:sz w:val="18"/>
      <w:szCs w:val="18"/>
    </w:rPr>
  </w:style>
  <w:style w:type="character" w:customStyle="1" w:styleId="7">
    <w:name w:val="页脚 字符"/>
    <w:basedOn w:val="5"/>
    <w:link w:val="2"/>
    <w:locked/>
    <w:uiPriority w:val="99"/>
    <w:rPr>
      <w:rFonts w:cs="Times New Roman"/>
      <w:sz w:val="18"/>
      <w:szCs w:val="18"/>
    </w:rPr>
  </w:style>
  <w:style w:type="paragraph" w:customStyle="1" w:styleId="8">
    <w:name w:val="null8"/>
    <w:hidden/>
    <w:qFormat/>
    <w:uiPriority w:val="0"/>
    <w:rPr>
      <w:rFonts w:cs="等线" w:asciiTheme="minorEastAsia" w:hAnsiTheme="minorEastAsia" w:eastAsiaTheme="minorEastAsia"/>
      <w:kern w:val="2"/>
      <w:sz w:val="24"/>
      <w:szCs w:val="21"/>
      <w:lang w:val="en-US" w:eastAsia="zh-CN" w:bidi="ar-SA"/>
    </w:rPr>
  </w:style>
  <w:style w:type="paragraph" w:customStyle="1" w:styleId="9">
    <w:name w:val="null9"/>
    <w:hidden/>
    <w:qFormat/>
    <w:uiPriority w:val="0"/>
    <w:rPr>
      <w:rFonts w:cs="等线" w:asciiTheme="minorEastAsia" w:hAnsiTheme="minorEastAsia" w:eastAsiaTheme="minorEastAsia"/>
      <w:kern w:val="2"/>
      <w:sz w:val="24"/>
      <w:szCs w:val="21"/>
      <w:lang w:val="en-US" w:eastAsia="zh-CN" w:bidi="ar-SA"/>
    </w:rPr>
  </w:style>
  <w:style w:type="paragraph" w:customStyle="1" w:styleId="10">
    <w:name w:val="null10"/>
    <w:hidden/>
    <w:qFormat/>
    <w:uiPriority w:val="0"/>
    <w:rPr>
      <w:rFonts w:cs="等线" w:asciiTheme="minorEastAsia" w:hAnsiTheme="minorEastAsia" w:eastAsiaTheme="minorEastAsia"/>
      <w:bCs/>
      <w:kern w:val="2"/>
      <w:sz w:val="24"/>
      <w:szCs w:val="21"/>
      <w:lang w:val="en-US" w:eastAsia="zh-CN" w:bidi="ar-SA"/>
    </w:rPr>
  </w:style>
  <w:style w:type="paragraph" w:customStyle="1" w:styleId="11">
    <w:name w:val="null11"/>
    <w:hidden/>
    <w:qFormat/>
    <w:uiPriority w:val="0"/>
    <w:rPr>
      <w:rFonts w:cs="等线" w:asciiTheme="minorEastAsia" w:hAnsiTheme="minorEastAsia" w:eastAsiaTheme="minorEastAsia"/>
      <w:bCs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1794</Words>
  <Characters>2106</Characters>
  <Lines>5</Lines>
  <Paragraphs>1</Paragraphs>
  <TotalTime>0</TotalTime>
  <ScaleCrop>false</ScaleCrop>
  <LinksUpToDate>false</LinksUpToDate>
  <CharactersWithSpaces>2193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2024-10-15T00:55:00Z</dcterms:created>
  <dc:creator>敬辉 王</dc:creator>
  <cp:lastModifiedBy>丁晓宇</cp:lastModifiedBy>
  <dcterms:modified xsi:type="dcterms:W3CDTF">2026-06-03T03:04:28Z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eyJoZGlkIjoiZWI5OWVhY2U1MmU1YWQwZjAyZTMzYTk5M2RlNWQzNDYiLCJ1c2VySWQiOiIxMDAxMzM1MDc4In0=</vt:lpwstr>
  </property>
  <property fmtid="{D5CDD505-2E9C-101B-9397-08002B2CF9AE}" pid="3" name="KSOProductBuildVer">
    <vt:lpwstr>2052-12.1.0.26375</vt:lpwstr>
  </property>
  <property fmtid="{D5CDD505-2E9C-101B-9397-08002B2CF9AE}" pid="4" name="ICV">
    <vt:lpwstr>4BA22CAEE82147D98788E22B47EFADC2_12</vt:lpwstr>
  </property>
</Properties>
</file>