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A21A4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重庆邮电大学本科毕业设计（论文）答辩记录表</w:t>
      </w:r>
    </w:p>
    <w:tbl>
      <w:tblPr>
        <w:tblStyle w:val="2"/>
        <w:tblW w:w="847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45"/>
        <w:gridCol w:w="2863"/>
        <w:gridCol w:w="540"/>
        <w:gridCol w:w="1276"/>
        <w:gridCol w:w="142"/>
        <w:gridCol w:w="2410"/>
      </w:tblGrid>
      <w:tr w14:paraId="65FD0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1E8569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题目</w:t>
            </w:r>
          </w:p>
        </w:tc>
        <w:tc>
          <w:tcPr>
            <w:tcW w:w="723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134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/>
                <w:spacing w:val="-2"/>
              </w:rPr>
              <w:t>基于SpringBoot和Vue的车险理赔预测系统设计与实现</w:t>
            </w:r>
          </w:p>
        </w:tc>
      </w:tr>
      <w:tr w14:paraId="48F9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E2C1E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学生姓名</w:t>
            </w:r>
          </w:p>
        </w:tc>
        <w:tc>
          <w:tcPr>
            <w:tcW w:w="3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4EC078"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4"/>
              </w:rPr>
              <w:t>钱信宇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C72C0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    号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128CF7">
            <w:pPr>
              <w:spacing w:before="100" w:beforeAutospacing="1" w:after="100" w:afterAutospacing="1"/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</w:rPr>
              <w:t>2022211756</w:t>
            </w:r>
          </w:p>
        </w:tc>
      </w:tr>
      <w:tr w14:paraId="3243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C1366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指导教师</w:t>
            </w:r>
          </w:p>
        </w:tc>
        <w:tc>
          <w:tcPr>
            <w:tcW w:w="3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F5789"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丁晓宇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93E405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所在单位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001E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人工智能学院</w:t>
            </w:r>
          </w:p>
        </w:tc>
      </w:tr>
      <w:tr w14:paraId="75CA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6" w:hRule="atLeast"/>
          <w:jc w:val="center"/>
        </w:trPr>
        <w:tc>
          <w:tcPr>
            <w:tcW w:w="8472" w:type="dxa"/>
            <w:gridSpan w:val="7"/>
            <w:tcBorders>
              <w:top w:val="single" w:color="auto" w:sz="4" w:space="0"/>
            </w:tcBorders>
            <w:noWrap w:val="0"/>
            <w:vAlign w:val="center"/>
          </w:tcPr>
          <w:p w14:paraId="59261C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课题立足车险行业风控需求，设计前后端分离的赔付率预测系统。后端依托 SpringBoot、MyBatis、MySQL 实现保单与理赔数据管理，前端使用 Vue3+ElementPlus 完成可视化页面开发。针对车险数据不均衡问题，采用分层抽样、权重加权优化数据，搭建引入残差结构的多层感知机预测模型，借助 FastAPI 部署模型并对接业务系统。经 AUC、F1 等指标测试，模型与系统运行稳定。该系统可精准预估赔付率，为车险精细化风控提供数字化支撑。</w:t>
            </w:r>
          </w:p>
          <w:p w14:paraId="0D94D5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1.论文为什么采用多层感知机，少数类的预测效果并不佳，其他模型是否能有更好的效果？</w:t>
            </w:r>
          </w:p>
          <w:p w14:paraId="2F53F4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答：多层感知机是一个较为基础的深度学习模型，其他模型的效果确实并未尝试。</w:t>
            </w:r>
          </w:p>
          <w:p w14:paraId="36749C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2.数据库中的第三范式是什么，关系型数据库中的关系是什么意思？</w:t>
            </w:r>
          </w:p>
          <w:p w14:paraId="087C49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答：这部分知识遗忘。</w:t>
            </w:r>
          </w:p>
          <w:p w14:paraId="222DAF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3.系统中预测功能最终的目的是什么？</w:t>
            </w:r>
          </w:p>
          <w:p w14:paraId="518C43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Cs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答：预测出某条保单的发生理赔概率。</w:t>
            </w:r>
          </w:p>
        </w:tc>
      </w:tr>
      <w:tr w14:paraId="3A843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104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59517F92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评分项目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545D9A12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满分分值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noWrap w:val="0"/>
            <w:vAlign w:val="center"/>
          </w:tcPr>
          <w:p w14:paraId="55F35BDB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评定评分</w:t>
            </w:r>
          </w:p>
        </w:tc>
      </w:tr>
      <w:tr w14:paraId="4F8CB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</w:tcBorders>
            <w:noWrap w:val="0"/>
            <w:vAlign w:val="center"/>
          </w:tcPr>
          <w:p w14:paraId="74E6827A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496BD4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课题内容与行业相关性陈述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72409552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10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noWrap w:val="0"/>
            <w:vAlign w:val="center"/>
          </w:tcPr>
          <w:p w14:paraId="6EA2FFCC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7</w:t>
            </w:r>
          </w:p>
        </w:tc>
      </w:tr>
      <w:tr w14:paraId="4E4D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</w:tcBorders>
            <w:noWrap w:val="0"/>
            <w:vAlign w:val="center"/>
          </w:tcPr>
          <w:p w14:paraId="36CDDDD6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42497795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知识背景及运用能力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7E809882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</w:rPr>
              <w:t>0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noWrap w:val="0"/>
            <w:vAlign w:val="center"/>
          </w:tcPr>
          <w:p w14:paraId="3B3DBA03">
            <w:pPr>
              <w:spacing w:line="400" w:lineRule="exact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8</w:t>
            </w:r>
          </w:p>
        </w:tc>
      </w:tr>
      <w:tr w14:paraId="01653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</w:tcBorders>
            <w:noWrap w:val="0"/>
            <w:vAlign w:val="center"/>
          </w:tcPr>
          <w:p w14:paraId="17405F3C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659055EB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课题的分析、设计和实践能力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083E1B88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</w:rPr>
              <w:t>0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noWrap w:val="0"/>
            <w:vAlign w:val="center"/>
          </w:tcPr>
          <w:p w14:paraId="304B733B">
            <w:pPr>
              <w:spacing w:line="400" w:lineRule="exact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17</w:t>
            </w:r>
          </w:p>
        </w:tc>
      </w:tr>
      <w:tr w14:paraId="5F04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</w:tcBorders>
            <w:noWrap w:val="0"/>
            <w:vAlign w:val="center"/>
          </w:tcPr>
          <w:p w14:paraId="6D38C9EE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13791C3B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创新意识及创新能力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453696B3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20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noWrap w:val="0"/>
            <w:vAlign w:val="center"/>
          </w:tcPr>
          <w:p w14:paraId="60E67151">
            <w:pPr>
              <w:spacing w:line="400" w:lineRule="exact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</w:p>
        </w:tc>
      </w:tr>
      <w:tr w14:paraId="3726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</w:tcBorders>
            <w:noWrap w:val="0"/>
            <w:vAlign w:val="center"/>
          </w:tcPr>
          <w:p w14:paraId="4023FCF0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34EB9746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交流、沟通、展示能力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65D53280">
            <w:pPr>
              <w:spacing w:line="400" w:lineRule="exact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</w:rPr>
              <w:t>0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noWrap w:val="0"/>
            <w:vAlign w:val="center"/>
          </w:tcPr>
          <w:p w14:paraId="0B43640C">
            <w:pPr>
              <w:spacing w:line="400" w:lineRule="exact"/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9</w:t>
            </w:r>
          </w:p>
        </w:tc>
      </w:tr>
      <w:tr w14:paraId="6D1D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062" w:type="dxa"/>
            <w:gridSpan w:val="6"/>
            <w:tcBorders>
              <w:top w:val="single" w:color="auto" w:sz="4" w:space="0"/>
            </w:tcBorders>
            <w:noWrap w:val="0"/>
            <w:vAlign w:val="center"/>
          </w:tcPr>
          <w:p w14:paraId="582A1C2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答辩小组评定成绩（百分制）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noWrap w:val="0"/>
            <w:vAlign w:val="center"/>
          </w:tcPr>
          <w:p w14:paraId="3B19EB1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bCs/>
                <w:kern w:val="0"/>
                <w:sz w:val="24"/>
                <w:lang w:val="en-US" w:eastAsia="zh-CN"/>
              </w:rPr>
              <w:t>6</w:t>
            </w:r>
          </w:p>
        </w:tc>
      </w:tr>
      <w:tr w14:paraId="1AF8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8472" w:type="dxa"/>
            <w:gridSpan w:val="7"/>
            <w:tcBorders>
              <w:bottom w:val="nil"/>
            </w:tcBorders>
            <w:noWrap w:val="0"/>
            <w:vAlign w:val="center"/>
          </w:tcPr>
          <w:p w14:paraId="210C1F88">
            <w:pPr>
              <w:spacing w:before="100" w:beforeAutospacing="1" w:after="100" w:afterAutospacing="1" w:line="360" w:lineRule="auto"/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答辩小组结论：</w:t>
            </w:r>
          </w:p>
          <w:p w14:paraId="2D6AA419">
            <w:pPr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    答辩小组同意 √ 通过 □ 不通过毕业设计论文答辩</w:t>
            </w:r>
          </w:p>
          <w:p w14:paraId="4DC9CD65">
            <w:pPr>
              <w:spacing w:before="100" w:beforeAutospacing="1" w:after="100" w:afterAutospacing="1"/>
              <w:jc w:val="left"/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</w:tr>
      <w:tr w14:paraId="3E20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  <w:jc w:val="center"/>
        </w:trPr>
        <w:tc>
          <w:tcPr>
            <w:tcW w:w="8472" w:type="dxa"/>
            <w:gridSpan w:val="7"/>
            <w:tcBorders>
              <w:top w:val="nil"/>
            </w:tcBorders>
            <w:noWrap w:val="0"/>
            <w:vAlign w:val="center"/>
          </w:tcPr>
          <w:tbl>
            <w:tblPr>
              <w:tblStyle w:val="2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2"/>
              <w:gridCol w:w="510"/>
              <w:gridCol w:w="510"/>
              <w:gridCol w:w="510"/>
              <w:gridCol w:w="510"/>
              <w:gridCol w:w="514"/>
            </w:tblGrid>
            <w:tr w14:paraId="6248CCA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642" w:type="dxa"/>
                  <w:gridSpan w:val="2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80B502B"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</w:rPr>
                    <w:t>组长签字：</w:t>
                  </w:r>
                </w:p>
              </w:tc>
              <w:tc>
                <w:tcPr>
                  <w:tcW w:w="2044" w:type="dxa"/>
                  <w:gridSpan w:val="4"/>
                  <w:tcBorders>
                    <w:bottom w:val="single" w:color="auto" w:sz="4" w:space="0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48AF259"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position w:val="2"/>
                    </w:rPr>
                    <w:drawing>
                      <wp:inline distT="0" distB="0" distL="0" distR="0">
                        <wp:extent cx="571500" cy="286385"/>
                        <wp:effectExtent l="0" t="0" r="0" b="18415"/>
                        <wp:docPr id="2" name="IM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65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26A91E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132" w:type="dxa"/>
                  <w:tcBorders>
                    <w:bottom w:val="single" w:color="auto" w:sz="4" w:space="0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3C0D477"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lang w:val="en-US" w:eastAsia="zh-CN"/>
                    </w:rPr>
                  </w:pPr>
                  <w:bookmarkStart w:id="0" w:name="_GoBack"/>
                  <w:r>
                    <w:rPr>
                      <w:rFonts w:hint="eastAsia" w:ascii="宋体" w:hAnsi="宋体" w:eastAsia="宋体" w:cs="宋体"/>
                      <w:sz w:val="24"/>
                      <w:lang w:val="en-US" w:eastAsia="zh-CN"/>
                    </w:rPr>
                    <w:t>2026</w:t>
                  </w:r>
                </w:p>
              </w:tc>
              <w:tc>
                <w:tcPr>
                  <w:tcW w:w="51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57B5490"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年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5E90FF2"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lang w:val="en-US" w:eastAsia="zh-CN"/>
                    </w:rPr>
                    <w:t>05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9405B67"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月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bottom w:val="single" w:color="auto" w:sz="4" w:space="0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09154E2C">
                  <w:pPr>
                    <w:jc w:val="center"/>
                    <w:rPr>
                      <w:rFonts w:hint="default" w:ascii="宋体" w:hAnsi="宋体" w:eastAsia="宋体" w:cs="宋体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lang w:val="en-US" w:eastAsia="zh-CN"/>
                    </w:rPr>
                    <w:t>2</w:t>
                  </w:r>
                  <w:r>
                    <w:rPr>
                      <w:rFonts w:hint="eastAsia" w:ascii="宋体" w:hAnsi="宋体" w:cs="宋体"/>
                      <w:sz w:val="24"/>
                      <w:lang w:val="en-US" w:eastAsia="zh-CN"/>
                    </w:rPr>
                    <w:t>1</w:t>
                  </w:r>
                </w:p>
              </w:tc>
              <w:tc>
                <w:tcPr>
                  <w:tcW w:w="514" w:type="dxa"/>
                  <w:tcBorders>
                    <w:top w:val="single" w:color="auto" w:sz="4" w:space="0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D847379">
                  <w:pPr>
                    <w:jc w:val="center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</w:rPr>
                    <w:t>日</w:t>
                  </w:r>
                </w:p>
              </w:tc>
            </w:tr>
            <w:bookmarkEnd w:id="0"/>
          </w:tbl>
          <w:p w14:paraId="694727C1">
            <w:pPr>
              <w:spacing w:before="100" w:beforeAutospacing="1" w:after="100" w:afterAutospacing="1"/>
              <w:ind w:right="118" w:rightChars="56"/>
              <w:jc w:val="right"/>
              <w:rPr>
                <w:rFonts w:hint="eastAsia" w:ascii="宋体" w:hAnsi="宋体" w:eastAsia="宋体" w:cs="宋体"/>
                <w:sz w:val="24"/>
              </w:rPr>
            </w:pPr>
          </w:p>
        </w:tc>
      </w:tr>
    </w:tbl>
    <w:p w14:paraId="64CACF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00EC5"/>
    <w:rsid w:val="00C06EFF"/>
    <w:rsid w:val="5A6621BA"/>
    <w:rsid w:val="5C35146F"/>
    <w:rsid w:val="73600EC5"/>
    <w:rsid w:val="7AE0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506</Words>
  <Characters>587</Characters>
  <Lines>0</Lines>
  <Paragraphs>0</Paragraphs>
  <TotalTime>0</TotalTime>
  <ScaleCrop>false</ScaleCrop>
  <LinksUpToDate>false</LinksUpToDate>
  <CharactersWithSpaces>611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2026-06-03T13:09:00Z</dcterms:created>
  <dc:creator>丁晓宇</dc:creator>
  <cp:lastModifiedBy>丁晓宇</cp:lastModifiedBy>
  <dcterms:modified xsi:type="dcterms:W3CDTF">2026-06-03T13:25:25Z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08E6E5BB6A1C4F619FCE9290EF6220D6_11</vt:lpwstr>
  </property>
  <property fmtid="{D5CDD505-2E9C-101B-9397-08002B2CF9AE}" pid="4" name="KSOTemplateDocerSaveRecord">
    <vt:lpwstr>eyJoZGlkIjoiZWI5OWVhY2U1MmU1YWQwZjAyZTMzYTk5M2RlNWQzNDYiLCJ1c2VySWQiOiIxMDAxMzM1MDc4In0=</vt:lpwstr>
  </property>
</Properties>
</file>