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after="240" w:line="324" w:lineRule="auto"/>
        <w:jc w:val="center"/>
      </w:pPr>
      <w:r>
        <w:rPr>
          <w:rFonts w:ascii="Noto Sans KR" w:hAnsi="Noto Sans KR" w:eastAsia="Noto Sans KR" w:cs="Noto Sans KR"/>
          <w:b/>
          <w:i w:val="0"/>
          <w:color w:val="17365D"/>
          <w:sz w:val="68"/>
        </w:rPr>
        <w:t>EDK</w:t>
      </w:r>
    </w:p>
    <w:p>
      <w:pPr>
        <w:spacing w:before="0" w:after="160" w:line="324" w:lineRule="auto"/>
        <w:jc w:val="center"/>
      </w:pPr>
      <w:r>
        <w:rPr>
          <w:rFonts w:ascii="Noto Sans KR" w:hAnsi="Noto Sans KR" w:eastAsia="Noto Sans KR" w:cs="Noto Sans KR"/>
          <w:b/>
          <w:i w:val="0"/>
          <w:color w:val="17365D"/>
          <w:sz w:val="48"/>
        </w:rPr>
        <w:t>리뉴얼 프로젝트 이의제기 및 검토의견서</w:t>
      </w:r>
    </w:p>
    <w:p>
      <w:pPr>
        <w:spacing w:before="0" w:after="720" w:line="324" w:lineRule="auto"/>
        <w:jc w:val="center"/>
      </w:pPr>
      <w:r>
        <w:rPr>
          <w:rFonts w:ascii="Noto Sans KR" w:hAnsi="Noto Sans KR" w:eastAsia="Noto Sans KR" w:cs="Noto Sans KR"/>
          <w:b w:val="0"/>
          <w:i w:val="0"/>
          <w:color w:val="555555"/>
          <w:sz w:val="24"/>
        </w:rPr>
        <w:t>UI/UX 동일성, 프론트엔드 코드 보존 및 성능개선 범위에 관한 공식 검토</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381"/>
        <w:gridCol w:w="6690"/>
      </w:tblGrid>
      <w:tr>
        <w:trPr>
          <w:tblHeader w:val="true"/>
        </w:trPr>
        <w:tc>
          <w:tcPr>
            <w:tcW w:type="dxa" w:w="2381"/>
            <w:shd w:fill="D9E2F3"/>
            <w:tcMar>
              <w:top w:w="120" w:type="dxa"/>
              <w:start w:w="120" w:type="dxa"/>
              <w:bottom w:w="120" w:type="dxa"/>
              <w:end w:w="120" w:type="dxa"/>
            </w:tcMar>
            <w:vAlign w:val="center"/>
          </w:tcPr>
          <w:p>
            <w:pPr>
              <w:spacing w:before="0" w:after="0" w:line="276" w:lineRule="auto"/>
              <w:jc w:val="center"/>
            </w:pPr>
            <w:r>
              <w:rPr>
                <w:rFonts w:ascii="Noto Sans KR" w:hAnsi="Noto Sans KR" w:eastAsia="Noto Sans KR" w:cs="Noto Sans KR"/>
                <w:b/>
                <w:i w:val="0"/>
                <w:color w:val="17365D"/>
                <w:sz w:val="19"/>
              </w:rPr>
              <w:t>항목</w:t>
            </w:r>
          </w:p>
        </w:tc>
        <w:tc>
          <w:tcPr>
            <w:tcW w:type="dxa" w:w="6690"/>
            <w:shd w:fill="D9E2F3"/>
            <w:tcMar>
              <w:top w:w="120" w:type="dxa"/>
              <w:start w:w="120" w:type="dxa"/>
              <w:bottom w:w="120" w:type="dxa"/>
              <w:end w:w="120" w:type="dxa"/>
            </w:tcMar>
            <w:vAlign w:val="center"/>
          </w:tcPr>
          <w:p>
            <w:pPr>
              <w:spacing w:before="0" w:after="0" w:line="276" w:lineRule="auto"/>
              <w:jc w:val="center"/>
            </w:pPr>
            <w:r>
              <w:rPr>
                <w:rFonts w:ascii="Noto Sans KR" w:hAnsi="Noto Sans KR" w:eastAsia="Noto Sans KR" w:cs="Noto Sans KR"/>
                <w:b/>
                <w:i w:val="0"/>
                <w:color w:val="17365D"/>
                <w:sz w:val="19"/>
              </w:rPr>
              <w:t>내용</w:t>
            </w:r>
          </w:p>
        </w:tc>
      </w:tr>
      <w:tr>
        <w:tc>
          <w:tcPr>
            <w:tcW w:type="dxa" w:w="2381"/>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참조 문서</w:t>
            </w:r>
          </w:p>
        </w:tc>
        <w:tc>
          <w:tcPr>
            <w:tcW w:type="dxa" w:w="6690"/>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EDK 리뉴얼 프로젝트 종료 보고서 v0.1.6 draft</w:t>
            </w:r>
          </w:p>
        </w:tc>
      </w:tr>
      <w:tr>
        <w:tc>
          <w:tcPr>
            <w:tcW w:type="dxa" w:w="2381"/>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문서 성격</w:t>
            </w:r>
          </w:p>
        </w:tc>
        <w:tc>
          <w:tcPr>
            <w:tcW w:type="dxa" w:w="6690"/>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종료보고서 기재 내용에 대한 이의제기 및 사실·범위 확인 요청</w:t>
            </w:r>
          </w:p>
        </w:tc>
      </w:tr>
      <w:tr>
        <w:tc>
          <w:tcPr>
            <w:tcW w:type="dxa" w:w="2381"/>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작성 목적</w:t>
            </w:r>
          </w:p>
        </w:tc>
        <w:tc>
          <w:tcPr>
            <w:tcW w:type="dxa" w:w="6690"/>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요구사항 해석, 범위 변경 절차, 성능 검증 범위의 명확화</w:t>
            </w:r>
          </w:p>
        </w:tc>
      </w:tr>
      <w:tr>
        <w:tc>
          <w:tcPr>
            <w:tcW w:type="dxa" w:w="2381"/>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작성일</w:t>
            </w:r>
          </w:p>
        </w:tc>
        <w:tc>
          <w:tcPr>
            <w:tcW w:type="dxa" w:w="6690"/>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2026-07-23</w:t>
            </w:r>
          </w:p>
        </w:tc>
      </w:tr>
      <w:tr>
        <w:tc>
          <w:tcPr>
            <w:tcW w:type="dxa" w:w="2381"/>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작성</w:t>
            </w:r>
          </w:p>
        </w:tc>
        <w:tc>
          <w:tcPr>
            <w:tcW w:type="dxa" w:w="6690"/>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[작성자 기입]</w:t>
            </w:r>
          </w:p>
        </w:tc>
      </w:tr>
      <w:tr>
        <w:tc>
          <w:tcPr>
            <w:tcW w:type="dxa" w:w="2381"/>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수신</w:t>
            </w:r>
          </w:p>
        </w:tc>
        <w:tc>
          <w:tcPr>
            <w:tcW w:type="dxa" w:w="6690"/>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[수신자 기입]</w:t>
            </w:r>
          </w:p>
        </w:tc>
      </w:tr>
      <w:tr>
        <w:tc>
          <w:tcPr>
            <w:tcW w:type="dxa" w:w="2381"/>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배포 구분</w:t>
            </w:r>
          </w:p>
        </w:tc>
        <w:tc>
          <w:tcPr>
            <w:tcW w:type="dxa" w:w="6690"/>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검토용</w:t>
            </w:r>
          </w:p>
        </w:tc>
      </w:tr>
    </w:tbl>
    <w:p>
      <w:pPr>
        <w:spacing w:after="20"/>
      </w:pPr>
    </w:p>
    <w:p>
      <w:pPr>
        <w:spacing w:before="360" w:after="120" w:line="324" w:lineRule="auto"/>
        <w:jc w:val="center"/>
      </w:pPr>
      <w:r>
        <w:rPr>
          <w:rFonts w:ascii="Noto Sans KR" w:hAnsi="Noto Sans KR" w:eastAsia="Noto Sans KR" w:cs="Noto Sans KR"/>
          <w:b w:val="0"/>
          <w:i/>
          <w:color w:val="666666"/>
          <w:sz w:val="18"/>
        </w:rPr>
        <w:t>본 문서는 제공된 종료보고서 초안을 근거로 작성한 검토 의견이며, 계약서·제안요청서·회의록·변경승인서 원문이 추가되면 그 내용에 따라 보완되어야 한다.</w:t>
      </w:r>
    </w:p>
    <w:p>
      <w:r>
        <w:br w:type="page"/>
      </w:r>
    </w:p>
    <w:p>
      <w:pPr>
        <w:pStyle w:val="Heading1"/>
        <w:keepNext/>
        <w:spacing w:before="200" w:after="100" w:line="264" w:lineRule="auto"/>
      </w:pPr>
      <w:r>
        <w:rPr>
          <w:rFonts w:ascii="Noto Sans KR" w:hAnsi="Noto Sans KR" w:eastAsia="Noto Sans KR" w:cs="Noto Sans KR"/>
          <w:b/>
          <w:i w:val="0"/>
          <w:color w:val="17365D"/>
          <w:sz w:val="40"/>
        </w:rPr>
        <w:t>1. 요약 및 공식 이의제기</w:t>
      </w:r>
    </w:p>
    <w:p>
      <w:pPr>
        <w:pStyle w:val="Heading2"/>
        <w:keepNext/>
        <w:spacing w:before="180" w:after="100" w:line="264" w:lineRule="auto"/>
      </w:pPr>
      <w:r>
        <w:rPr>
          <w:rFonts w:ascii="Noto Sans KR" w:hAnsi="Noto Sans KR" w:eastAsia="Noto Sans KR" w:cs="Noto Sans KR"/>
          <w:b/>
          <w:i w:val="0"/>
          <w:color w:val="17365D"/>
          <w:sz w:val="30"/>
        </w:rPr>
        <w:t>1.1 검토 결론</w:t>
      </w:r>
    </w:p>
    <w:tbl>
      <w:tblPr>
        <w:tblW w:type="auto" w:w="0"/>
        <w:jc w:val="center"/>
        <w:tblLayout w:type="fixed"/>
        <w:tblLook w:firstColumn="1" w:firstRow="1" w:lastColumn="0" w:lastRow="0" w:noHBand="0" w:noVBand="1" w:val="04A0"/>
        <w:tblBorders>
          <w:top w:val="single" w:sz="8" w:space="0" w:color="17365D"/>
          <w:left w:val="single" w:sz="8" w:space="0" w:color="17365D"/>
          <w:bottom w:val="single" w:sz="8" w:space="0" w:color="17365D"/>
          <w:right w:val="single" w:sz="8" w:space="0" w:color="17365D"/>
          <w:insideH w:val="single" w:sz="8" w:space="0" w:color="17365D"/>
          <w:insideV w:val="single" w:sz="8" w:space="0" w:color="17365D"/>
        </w:tblBorders>
      </w:tblPr>
      <w:tblGrid>
        <w:gridCol w:w="9071"/>
      </w:tblGrid>
      <w:tr>
        <w:tc>
          <w:tcPr>
            <w:tcW w:type="dxa" w:w="9071"/>
            <w:shd w:fill="EAF0F8"/>
            <w:tcMar>
              <w:top w:w="160" w:type="dxa"/>
              <w:start w:w="180" w:type="dxa"/>
              <w:bottom w:w="150" w:type="dxa"/>
              <w:end w:w="180" w:type="dxa"/>
            </w:tcMar>
          </w:tcPr>
          <w:p>
            <w:pPr>
              <w:spacing w:before="0" w:after="80" w:line="324" w:lineRule="auto"/>
            </w:pPr>
            <w:r>
              <w:rPr>
                <w:rFonts w:ascii="Noto Sans KR" w:hAnsi="Noto Sans KR" w:eastAsia="Noto Sans KR" w:cs="Noto Sans KR"/>
                <w:b/>
                <w:i w:val="0"/>
                <w:color w:val="17365D"/>
                <w:sz w:val="22"/>
              </w:rPr>
              <w:t>핵심 의견</w:t>
            </w:r>
          </w:p>
          <w:p>
            <w:pPr>
              <w:spacing w:before="0" w:after="0" w:line="324" w:lineRule="auto"/>
            </w:pPr>
            <w:r>
              <w:rPr>
                <w:rFonts w:ascii="Noto Sans KR" w:hAnsi="Noto Sans KR" w:eastAsia="Noto Sans KR" w:cs="Noto Sans KR"/>
                <w:b w:val="0"/>
                <w:i w:val="0"/>
                <w:color w:val="222222"/>
                <w:sz w:val="21"/>
              </w:rPr>
              <w:t>“UI/UX를 동일하게 유지한다”는 요구는 사용자가 보는 화면과 업무 흐름의 동등성을 뜻하며, 그 자체로 “프론트엔드 소스 코드를 일절 수정하지 않는다”는 구현 제약을 의미하지 않는다. 프론트엔드와 백엔드의 V1→V2 리뉴얼 및 성능개선이 당초 범위였다면, 기존 프론트엔드를 그대로 보존하는 결정은 기술적 세부사항이 아니라 범위·산출물·검수 기준에 영향을 주는 전략 변경으로 보아야 한다.</w:t>
            </w:r>
          </w:p>
        </w:tc>
      </w:tr>
    </w:tbl>
    <w:p>
      <w:pPr>
        <w:spacing w:after="20"/>
      </w:pPr>
    </w:p>
    <w:p>
      <w:pPr>
        <w:spacing w:before="0" w:after="120" w:line="324" w:lineRule="auto"/>
      </w:pPr>
      <w:r>
        <w:rPr>
          <w:rFonts w:ascii="Noto Sans KR" w:hAnsi="Noto Sans KR" w:eastAsia="Noto Sans KR" w:cs="Noto Sans KR"/>
          <w:b w:val="0"/>
          <w:i w:val="0"/>
          <w:color w:val="222222"/>
          <w:sz w:val="21"/>
        </w:rPr>
        <w:t>제공된 종료보고서는 한편으로 프로젝트 범위를 “백엔드 시스템의 전면 재작성과 운영 데이터 이관”으로 규정하면서, 다른 한편으로 초기에는 백엔드와 프론트엔드를 모두 신규 기술로 재작성하였고 이후 2026년 4월 25일 프론트엔드 신규 개발을 중단했다고 서술한다. 따라서 쟁점은 ‘기존 프론트 코드를 사용하는 것이 기술적으로 가능한가’가 아니라, 그 전략 변경이 당초 계약 범위와 발주자의 명시적 승인에 부합하는지 여부이다.</w:t>
      </w:r>
    </w:p>
    <w:p>
      <w:pPr>
        <w:pStyle w:val="Heading2"/>
        <w:keepNext/>
        <w:spacing w:before="180" w:after="100" w:line="264" w:lineRule="auto"/>
      </w:pPr>
      <w:r>
        <w:rPr>
          <w:rFonts w:ascii="Noto Sans KR" w:hAnsi="Noto Sans KR" w:eastAsia="Noto Sans KR" w:cs="Noto Sans KR"/>
          <w:b/>
          <w:i w:val="0"/>
          <w:color w:val="17365D"/>
          <w:sz w:val="30"/>
        </w:rPr>
        <w:t>1.2 이의제기 사항</w:t>
      </w:r>
    </w:p>
    <w:p>
      <w:pPr>
        <w:pStyle w:val="ListParagraph"/>
        <w:spacing w:before="0" w:after="60" w:line="324" w:lineRule="auto"/>
        <w:numPr>
          <w:ilvl w:val="0"/>
          <w:numId w:val="8"/>
        </w:numPr>
      </w:pPr>
      <w:r>
        <w:rPr>
          <w:rFonts w:ascii="Noto Sans KR" w:hAnsi="Noto Sans KR" w:eastAsia="Noto Sans KR" w:cs="Noto Sans KR"/>
          <w:b w:val="0"/>
          <w:i w:val="0"/>
          <w:color w:val="222222"/>
          <w:sz w:val="21"/>
        </w:rPr>
        <w:t>UI/UX 동일성 요구를 프론트엔드 소스 코드 동결로 확대 해석한 근거가 종료보고서에 제시되어 있지 않다.</w:t>
      </w:r>
    </w:p>
    <w:p>
      <w:pPr>
        <w:pStyle w:val="ListParagraph"/>
        <w:spacing w:before="0" w:after="60" w:line="324" w:lineRule="auto"/>
        <w:numPr>
          <w:ilvl w:val="0"/>
          <w:numId w:val="8"/>
        </w:numPr>
      </w:pPr>
      <w:r>
        <w:rPr>
          <w:rFonts w:ascii="Noto Sans KR" w:hAnsi="Noto Sans KR" w:eastAsia="Noto Sans KR" w:cs="Noto Sans KR"/>
          <w:b w:val="0"/>
          <w:i w:val="0"/>
          <w:color w:val="222222"/>
          <w:sz w:val="21"/>
        </w:rPr>
        <w:t>프론트엔드 신규 개발 중단 및 기존 코드 보존이 범위 변경이라면, 변경요청·영향분석·승인·수정된 인수기준이 확인되어야 한다.</w:t>
      </w:r>
    </w:p>
    <w:p>
      <w:pPr>
        <w:pStyle w:val="ListParagraph"/>
        <w:spacing w:before="0" w:after="60" w:line="324" w:lineRule="auto"/>
        <w:numPr>
          <w:ilvl w:val="0"/>
          <w:numId w:val="8"/>
        </w:numPr>
      </w:pPr>
      <w:r>
        <w:rPr>
          <w:rFonts w:ascii="Noto Sans KR" w:hAnsi="Noto Sans KR" w:eastAsia="Noto Sans KR" w:cs="Noto Sans KR"/>
          <w:b w:val="0"/>
          <w:i w:val="0"/>
          <w:color w:val="222222"/>
          <w:sz w:val="21"/>
        </w:rPr>
        <w:t>종료보고서의 대표 성능 수치는 진단 생성, 목록 조회, 웹공시 응답 등 주로 백엔드·데이터 구조 개선 결과다. 프론트엔드 코드가 그대로라면 전체 사용자 체감 성능 개선을 입증하는 별도의 종단간(E2E) 지표가 필요하다.</w:t>
      </w:r>
    </w:p>
    <w:p>
      <w:pPr>
        <w:pStyle w:val="ListParagraph"/>
        <w:spacing w:before="0" w:after="60" w:line="324" w:lineRule="auto"/>
        <w:numPr>
          <w:ilvl w:val="0"/>
          <w:numId w:val="8"/>
        </w:numPr>
      </w:pPr>
      <w:r>
        <w:rPr>
          <w:rFonts w:ascii="Noto Sans KR" w:hAnsi="Noto Sans KR" w:eastAsia="Noto Sans KR" w:cs="Noto Sans KR"/>
          <w:b w:val="0"/>
          <w:i w:val="0"/>
          <w:color w:val="222222"/>
          <w:sz w:val="21"/>
        </w:rPr>
        <w:t>Django REST Framework(DRF)에서 Django Ninja로의 전환은 백엔드 프레임워크 교체이며, API 계약 보존의 필요성은 설명하지만 프론트엔드 수정 금지의 필연성을 만들지는 않는다.</w:t>
      </w:r>
    </w:p>
    <w:p>
      <w:pPr>
        <w:pStyle w:val="Heading2"/>
        <w:keepNext/>
        <w:spacing w:before="180" w:after="100" w:line="264" w:lineRule="auto"/>
      </w:pPr>
      <w:r>
        <w:rPr>
          <w:rFonts w:ascii="Noto Sans KR" w:hAnsi="Noto Sans KR" w:eastAsia="Noto Sans KR" w:cs="Noto Sans KR"/>
          <w:b/>
          <w:i w:val="0"/>
          <w:color w:val="17365D"/>
          <w:sz w:val="30"/>
        </w:rPr>
        <w:t>1.3 요청 결론</w:t>
      </w:r>
    </w:p>
    <w:p>
      <w:pPr>
        <w:spacing w:before="0" w:after="120" w:line="324" w:lineRule="auto"/>
      </w:pPr>
      <w:r>
        <w:rPr>
          <w:rFonts w:ascii="Noto Sans KR" w:hAnsi="Noto Sans KR" w:eastAsia="Noto Sans KR" w:cs="Noto Sans KR"/>
          <w:b w:val="0"/>
          <w:i w:val="0"/>
          <w:color w:val="222222"/>
          <w:sz w:val="21"/>
        </w:rPr>
        <w:t>종료보고서는 현 상태만으로 ‘프론트엔드 코드 보존이 UI/UX 동일성 요구의 당연한 귀결’이라는 인상을 줄 수 있으므로, 이를 확정 사실로 표현하기 전에 계약 기준선과 전략 변경 승인 자료를 확인하고, 백엔드 성능 개선과 전체 서비스 성능 개선을 구분하여 기술할 것을 요청한다.</w:t>
      </w:r>
    </w:p>
    <w:p>
      <w:r>
        <w:br w:type="page"/>
      </w:r>
    </w:p>
    <w:p>
      <w:pPr>
        <w:pStyle w:val="Heading1"/>
        <w:keepNext/>
        <w:spacing w:before="200" w:after="100" w:line="264" w:lineRule="auto"/>
      </w:pPr>
      <w:r>
        <w:rPr>
          <w:rFonts w:ascii="Noto Sans KR" w:hAnsi="Noto Sans KR" w:eastAsia="Noto Sans KR" w:cs="Noto Sans KR"/>
          <w:b/>
          <w:i w:val="0"/>
          <w:color w:val="17365D"/>
          <w:sz w:val="40"/>
        </w:rPr>
        <w:t>2. 종료보고서 기재 내용과 쟁점</w:t>
      </w:r>
    </w:p>
    <w:p>
      <w:pPr>
        <w:pStyle w:val="Heading2"/>
        <w:keepNext/>
        <w:spacing w:before="180" w:after="100" w:line="264" w:lineRule="auto"/>
      </w:pPr>
      <w:r>
        <w:rPr>
          <w:rFonts w:ascii="Noto Sans KR" w:hAnsi="Noto Sans KR" w:eastAsia="Noto Sans KR" w:cs="Noto Sans KR"/>
          <w:b/>
          <w:i w:val="0"/>
          <w:color w:val="17365D"/>
          <w:sz w:val="30"/>
        </w:rPr>
        <w:t>2.1 보고서가 스스로 밝힌 사실</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268"/>
        <w:gridCol w:w="3231"/>
        <w:gridCol w:w="3572"/>
      </w:tblGrid>
      <w:tr>
        <w:trPr>
          <w:tblHeader w:val="true"/>
        </w:trPr>
        <w:tc>
          <w:tcPr>
            <w:tcW w:type="dxa" w:w="2268"/>
            <w:shd w:fill="D9E2F3"/>
            <w:tcMar>
              <w:top w:w="120" w:type="dxa"/>
              <w:start w:w="120" w:type="dxa"/>
              <w:bottom w:w="120" w:type="dxa"/>
              <w:end w:w="120" w:type="dxa"/>
            </w:tcMar>
            <w:vAlign w:val="center"/>
          </w:tcPr>
          <w:p>
            <w:pPr>
              <w:spacing w:before="0" w:after="0" w:line="276" w:lineRule="auto"/>
              <w:jc w:val="center"/>
            </w:pPr>
            <w:r>
              <w:rPr>
                <w:rFonts w:ascii="Noto Sans KR" w:hAnsi="Noto Sans KR" w:eastAsia="Noto Sans KR" w:cs="Noto Sans KR"/>
                <w:b/>
                <w:i w:val="0"/>
                <w:color w:val="17365D"/>
                <w:sz w:val="19"/>
              </w:rPr>
              <w:t>보고서 기재 사항</w:t>
            </w:r>
          </w:p>
        </w:tc>
        <w:tc>
          <w:tcPr>
            <w:tcW w:type="dxa" w:w="3231"/>
            <w:shd w:fill="D9E2F3"/>
            <w:tcMar>
              <w:top w:w="120" w:type="dxa"/>
              <w:start w:w="120" w:type="dxa"/>
              <w:bottom w:w="120" w:type="dxa"/>
              <w:end w:w="120" w:type="dxa"/>
            </w:tcMar>
            <w:vAlign w:val="center"/>
          </w:tcPr>
          <w:p>
            <w:pPr>
              <w:spacing w:before="0" w:after="0" w:line="276" w:lineRule="auto"/>
              <w:jc w:val="center"/>
            </w:pPr>
            <w:r>
              <w:rPr>
                <w:rFonts w:ascii="Noto Sans KR" w:hAnsi="Noto Sans KR" w:eastAsia="Noto Sans KR" w:cs="Noto Sans KR"/>
                <w:b/>
                <w:i w:val="0"/>
                <w:color w:val="17365D"/>
                <w:sz w:val="19"/>
              </w:rPr>
              <w:t>확인되는 사실</w:t>
            </w:r>
          </w:p>
        </w:tc>
        <w:tc>
          <w:tcPr>
            <w:tcW w:type="dxa" w:w="3572"/>
            <w:shd w:fill="D9E2F3"/>
            <w:tcMar>
              <w:top w:w="120" w:type="dxa"/>
              <w:start w:w="120" w:type="dxa"/>
              <w:bottom w:w="120" w:type="dxa"/>
              <w:end w:w="120" w:type="dxa"/>
            </w:tcMar>
            <w:vAlign w:val="center"/>
          </w:tcPr>
          <w:p>
            <w:pPr>
              <w:spacing w:before="0" w:after="0" w:line="276" w:lineRule="auto"/>
              <w:jc w:val="center"/>
            </w:pPr>
            <w:r>
              <w:rPr>
                <w:rFonts w:ascii="Noto Sans KR" w:hAnsi="Noto Sans KR" w:eastAsia="Noto Sans KR" w:cs="Noto Sans KR"/>
                <w:b/>
                <w:i w:val="0"/>
                <w:color w:val="17365D"/>
                <w:sz w:val="19"/>
              </w:rPr>
              <w:t>검토상 의미</w:t>
            </w:r>
          </w:p>
        </w:tc>
      </w:tr>
      <w:tr>
        <w:tc>
          <w:tcPr>
            <w:tcW w:type="dxa" w:w="226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2.2 범위 및 원칙</w:t>
            </w:r>
          </w:p>
        </w:tc>
        <w:tc>
          <w:tcPr>
            <w:tcW w:type="dxa" w:w="3231"/>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프로젝트 범위를 백엔드 전면 재작성과 운영 데이터 이관으로 기재</w:t>
            </w:r>
          </w:p>
        </w:tc>
        <w:tc>
          <w:tcPr>
            <w:tcW w:type="dxa" w:w="3572"/>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계약 원문에서 프론트엔드가 제외됐는지 확인 필요</w:t>
            </w:r>
          </w:p>
        </w:tc>
      </w:tr>
      <w:tr>
        <w:tc>
          <w:tcPr>
            <w:tcW w:type="dxa" w:w="226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2.2 UI/UX 완전 보존</w:t>
            </w:r>
          </w:p>
        </w:tc>
        <w:tc>
          <w:tcPr>
            <w:tcW w:type="dxa" w:w="3231"/>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사용자가 체감하는 화면과 동작을 동일하게 유지</w:t>
            </w:r>
          </w:p>
        </w:tc>
        <w:tc>
          <w:tcPr>
            <w:tcW w:type="dxa" w:w="3572"/>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결과·행동의 동등성 기준이며 소스 동결 문구는 아님</w:t>
            </w:r>
          </w:p>
        </w:tc>
      </w:tr>
      <w:tr>
        <w:tc>
          <w:tcPr>
            <w:tcW w:type="dxa" w:w="226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3.1 추진 전략</w:t>
            </w:r>
          </w:p>
        </w:tc>
        <w:tc>
          <w:tcPr>
            <w:tcW w:type="dxa" w:w="3231"/>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초기에는 프론트·백엔드 모두 신규 기술로 재작성</w:t>
            </w:r>
          </w:p>
        </w:tc>
        <w:tc>
          <w:tcPr>
            <w:tcW w:type="dxa" w:w="3572"/>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당초 수행계획에 프론트 리뉴얼이 포함됐음을 시사</w:t>
            </w:r>
          </w:p>
        </w:tc>
      </w:tr>
      <w:tr>
        <w:tc>
          <w:tcPr>
            <w:tcW w:type="dxa" w:w="226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3.1 전략 전환</w:t>
            </w:r>
          </w:p>
        </w:tc>
        <w:tc>
          <w:tcPr>
            <w:tcW w:type="dxa" w:w="3231"/>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2026-04-25 신규 프론트 개발 중단, 기존 화면 보존 결정</w:t>
            </w:r>
          </w:p>
        </w:tc>
        <w:tc>
          <w:tcPr>
            <w:tcW w:type="dxa" w:w="3572"/>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중요 범위 변경이므로 승인 및 영향분석 확인 필요</w:t>
            </w:r>
          </w:p>
        </w:tc>
      </w:tr>
      <w:tr>
        <w:tc>
          <w:tcPr>
            <w:tcW w:type="dxa" w:w="226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2.4 기술 스택</w:t>
            </w:r>
          </w:p>
        </w:tc>
        <w:tc>
          <w:tcPr>
            <w:tcW w:type="dxa" w:w="3231"/>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V1: Django 4.2 + DRF 3.14 / V2: Django 6.0 + Django Ninja 1.5</w:t>
            </w:r>
          </w:p>
        </w:tc>
        <w:tc>
          <w:tcPr>
            <w:tcW w:type="dxa" w:w="3572"/>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백엔드는 사실상 신규 구현·호환 어댑터 구축</w:t>
            </w:r>
          </w:p>
        </w:tc>
      </w:tr>
      <w:tr>
        <w:tc>
          <w:tcPr>
            <w:tcW w:type="dxa" w:w="226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4.4 수행 규모</w:t>
            </w:r>
          </w:p>
        </w:tc>
        <w:tc>
          <w:tcPr>
            <w:tcW w:type="dxa" w:w="3231"/>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중단된 신규 프론트 구현분 약 14.7만 라인 별도 표기</w:t>
            </w:r>
          </w:p>
        </w:tc>
        <w:tc>
          <w:tcPr>
            <w:tcW w:type="dxa" w:w="3572"/>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상당한 수행분 폐기·전환에 대한 의사결정 근거 필요</w:t>
            </w:r>
          </w:p>
        </w:tc>
      </w:tr>
    </w:tbl>
    <w:p>
      <w:pPr>
        <w:spacing w:after="20"/>
      </w:pPr>
    </w:p>
    <w:p>
      <w:pPr>
        <w:pStyle w:val="Heading2"/>
        <w:keepNext/>
        <w:spacing w:before="180" w:after="100" w:line="264" w:lineRule="auto"/>
      </w:pPr>
      <w:r>
        <w:rPr>
          <w:rFonts w:ascii="Noto Sans KR" w:hAnsi="Noto Sans KR" w:eastAsia="Noto Sans KR" w:cs="Noto Sans KR"/>
          <w:b/>
          <w:i w:val="0"/>
          <w:color w:val="17365D"/>
          <w:sz w:val="30"/>
        </w:rPr>
        <w:t>2.2 동의하는 부분</w:t>
      </w:r>
    </w:p>
    <w:p>
      <w:pPr>
        <w:pStyle w:val="ListParagraph"/>
        <w:spacing w:before="0" w:after="60" w:line="324" w:lineRule="auto"/>
        <w:numPr>
          <w:ilvl w:val="0"/>
          <w:numId w:val="6"/>
        </w:numPr>
      </w:pPr>
      <w:r>
        <w:rPr>
          <w:rFonts w:ascii="Noto Sans KR" w:hAnsi="Noto Sans KR" w:eastAsia="Noto Sans KR" w:cs="Noto Sans KR"/>
          <w:b w:val="0"/>
          <w:i w:val="0"/>
          <w:color w:val="222222"/>
          <w:sz w:val="21"/>
        </w:rPr>
        <w:t>운영 중 서비스의 화면과 업무 흐름을 유지해 고객 재교육과 전환 위험을 줄이려는 목표는 합리적이다.</w:t>
      </w:r>
    </w:p>
    <w:p>
      <w:pPr>
        <w:pStyle w:val="ListParagraph"/>
        <w:spacing w:before="0" w:after="60" w:line="324" w:lineRule="auto"/>
        <w:numPr>
          <w:ilvl w:val="0"/>
          <w:numId w:val="6"/>
        </w:numPr>
      </w:pPr>
      <w:r>
        <w:rPr>
          <w:rFonts w:ascii="Noto Sans KR" w:hAnsi="Noto Sans KR" w:eastAsia="Noto Sans KR" w:cs="Noto Sans KR"/>
          <w:b w:val="0"/>
          <w:i w:val="0"/>
          <w:color w:val="222222"/>
          <w:sz w:val="21"/>
        </w:rPr>
        <w:t>신규 백엔드가 기존 API 경로·응답·인증 흐름을 호환하면 기존 프론트엔드를 연결해 전환 위험을 낮출 수 있다.</w:t>
      </w:r>
    </w:p>
    <w:p>
      <w:pPr>
        <w:pStyle w:val="ListParagraph"/>
        <w:spacing w:before="0" w:after="60" w:line="324" w:lineRule="auto"/>
        <w:numPr>
          <w:ilvl w:val="0"/>
          <w:numId w:val="6"/>
        </w:numPr>
      </w:pPr>
      <w:r>
        <w:rPr>
          <w:rFonts w:ascii="Noto Sans KR" w:hAnsi="Noto Sans KR" w:eastAsia="Noto Sans KR" w:cs="Noto Sans KR"/>
          <w:b w:val="0"/>
          <w:i w:val="0"/>
          <w:color w:val="222222"/>
          <w:sz w:val="21"/>
        </w:rPr>
        <w:t>데이터 구조, 쿼리, 캐시, 정적 스냅샷 등 백엔드 중심 개선만으로도 서버 처리량과 확장성을 크게 높일 수 있다.</w:t>
      </w:r>
    </w:p>
    <w:p>
      <w:pPr>
        <w:pStyle w:val="Heading2"/>
        <w:keepNext/>
        <w:spacing w:before="180" w:after="100" w:line="264" w:lineRule="auto"/>
      </w:pPr>
      <w:r>
        <w:rPr>
          <w:rFonts w:ascii="Noto Sans KR" w:hAnsi="Noto Sans KR" w:eastAsia="Noto Sans KR" w:cs="Noto Sans KR"/>
          <w:b/>
          <w:i w:val="0"/>
          <w:color w:val="17365D"/>
          <w:sz w:val="30"/>
        </w:rPr>
        <w:t>2.3 동의하기 어려운 확대 해석</w:t>
      </w:r>
    </w:p>
    <w:tbl>
      <w:tblPr>
        <w:tblW w:type="auto" w:w="0"/>
        <w:jc w:val="center"/>
        <w:tblLayout w:type="fixed"/>
        <w:tblLook w:firstColumn="1" w:firstRow="1" w:lastColumn="0" w:lastRow="0" w:noHBand="0" w:noVBand="1" w:val="04A0"/>
        <w:tblBorders>
          <w:top w:val="single" w:sz="8" w:space="0" w:color="BF9000"/>
          <w:left w:val="single" w:sz="8" w:space="0" w:color="BF9000"/>
          <w:bottom w:val="single" w:sz="8" w:space="0" w:color="BF9000"/>
          <w:right w:val="single" w:sz="8" w:space="0" w:color="BF9000"/>
          <w:insideH w:val="single" w:sz="8" w:space="0" w:color="BF9000"/>
          <w:insideV w:val="single" w:sz="8" w:space="0" w:color="BF9000"/>
        </w:tblBorders>
      </w:tblPr>
      <w:tblGrid>
        <w:gridCol w:w="9071"/>
      </w:tblGrid>
      <w:tr>
        <w:tc>
          <w:tcPr>
            <w:tcW w:type="dxa" w:w="9071"/>
            <w:shd w:fill="FFF2CC"/>
            <w:tcMar>
              <w:top w:w="160" w:type="dxa"/>
              <w:start w:w="180" w:type="dxa"/>
              <w:bottom w:w="150" w:type="dxa"/>
              <w:end w:w="180" w:type="dxa"/>
            </w:tcMar>
          </w:tcPr>
          <w:p>
            <w:pPr>
              <w:spacing w:before="0" w:after="80" w:line="324" w:lineRule="auto"/>
            </w:pPr>
            <w:r>
              <w:rPr>
                <w:rFonts w:ascii="Noto Sans KR" w:hAnsi="Noto Sans KR" w:eastAsia="Noto Sans KR" w:cs="Noto Sans KR"/>
                <w:b/>
                <w:i w:val="0"/>
                <w:color w:val="BF9000"/>
                <w:sz w:val="22"/>
              </w:rPr>
              <w:t>구분이 필요한 두 문장</w:t>
            </w:r>
          </w:p>
          <w:p>
            <w:pPr>
              <w:spacing w:before="0" w:after="0" w:line="324" w:lineRule="auto"/>
            </w:pPr>
            <w:r>
              <w:rPr>
                <w:rFonts w:ascii="Noto Sans KR" w:hAnsi="Noto Sans KR" w:eastAsia="Noto Sans KR" w:cs="Noto Sans KR"/>
                <w:b w:val="0"/>
                <w:i w:val="0"/>
                <w:color w:val="222222"/>
                <w:sz w:val="21"/>
              </w:rPr>
              <w:t>① “사용자가 보는 UI/UX는 동일해야 한다.”  ② “기존 프론트엔드 소스와 빌드 산출물을 수정하지 않는다.” 두 문장은 서로 다른 요구사항이다. ②가 요구되려면 코드 동결, 배포 산출물 유지, 변경 허용 범위가 계약·요구사항·변경승인 문서에 별도로 명시되어야 한다.</w:t>
            </w:r>
          </w:p>
        </w:tc>
      </w:tr>
    </w:tbl>
    <w:p>
      <w:pPr>
        <w:spacing w:after="20"/>
      </w:pPr>
    </w:p>
    <w:p>
      <w:r>
        <w:br w:type="page"/>
      </w:r>
    </w:p>
    <w:p>
      <w:pPr>
        <w:pStyle w:val="Heading1"/>
        <w:keepNext/>
        <w:spacing w:before="200" w:after="100" w:line="264" w:lineRule="auto"/>
      </w:pPr>
      <w:r>
        <w:rPr>
          <w:rFonts w:ascii="Noto Sans KR" w:hAnsi="Noto Sans KR" w:eastAsia="Noto Sans KR" w:cs="Noto Sans KR"/>
          <w:b/>
          <w:i w:val="0"/>
          <w:color w:val="17365D"/>
          <w:sz w:val="40"/>
        </w:rPr>
        <w:t>3. 기술적 검토</w:t>
      </w:r>
    </w:p>
    <w:p>
      <w:pPr>
        <w:pStyle w:val="Heading2"/>
        <w:keepNext/>
        <w:spacing w:before="180" w:after="100" w:line="264" w:lineRule="auto"/>
      </w:pPr>
      <w:r>
        <w:rPr>
          <w:rFonts w:ascii="Noto Sans KR" w:hAnsi="Noto Sans KR" w:eastAsia="Noto Sans KR" w:cs="Noto Sans KR"/>
          <w:b/>
          <w:i w:val="0"/>
          <w:color w:val="17365D"/>
          <w:sz w:val="30"/>
        </w:rPr>
        <w:t>3.1 UI/UX 동일성과 프론트엔드 코드 변경은 양립 가능</w:t>
      </w:r>
    </w:p>
    <w:p>
      <w:pPr>
        <w:spacing w:before="0" w:after="120" w:line="324" w:lineRule="auto"/>
      </w:pPr>
      <w:r>
        <w:rPr>
          <w:rFonts w:ascii="Noto Sans KR" w:hAnsi="Noto Sans KR" w:eastAsia="Noto Sans KR" w:cs="Noto Sans KR"/>
          <w:b w:val="0"/>
          <w:i w:val="0"/>
          <w:color w:val="222222"/>
          <w:sz w:val="21"/>
        </w:rPr>
        <w:t>UI/UX는 외부에서 관찰되는 화면 구조, 시각적 표현, 입력·이동·오류 처리, 접근성 및 업무 흐름에 관한 결과 기준이다. 반면 소스 코드 동결은 내부 구현에 대한 제약이다. 동일한 UI/UX를 유지하면서도 다음과 같은 프론트엔드 개선은 통상 가능하다.</w:t>
      </w:r>
    </w:p>
    <w:p>
      <w:pPr>
        <w:pStyle w:val="ListParagraph"/>
        <w:spacing w:before="0" w:after="60" w:line="324" w:lineRule="auto"/>
        <w:numPr>
          <w:ilvl w:val="0"/>
          <w:numId w:val="6"/>
        </w:numPr>
      </w:pPr>
      <w:r>
        <w:rPr>
          <w:rFonts w:ascii="Noto Sans KR" w:hAnsi="Noto Sans KR" w:eastAsia="Noto Sans KR" w:cs="Noto Sans KR"/>
          <w:b w:val="0"/>
          <w:i w:val="0"/>
          <w:color w:val="222222"/>
          <w:sz w:val="21"/>
        </w:rPr>
        <w:t>불필요한 재렌더링 제거, 메모이제이션 및 상태 구독 범위 축소</w:t>
      </w:r>
    </w:p>
    <w:p>
      <w:pPr>
        <w:pStyle w:val="ListParagraph"/>
        <w:spacing w:before="0" w:after="60" w:line="324" w:lineRule="auto"/>
        <w:numPr>
          <w:ilvl w:val="0"/>
          <w:numId w:val="6"/>
        </w:numPr>
      </w:pPr>
      <w:r>
        <w:rPr>
          <w:rFonts w:ascii="Noto Sans KR" w:hAnsi="Noto Sans KR" w:eastAsia="Noto Sans KR" w:cs="Noto Sans KR"/>
          <w:b w:val="0"/>
          <w:i w:val="0"/>
          <w:color w:val="222222"/>
          <w:sz w:val="21"/>
        </w:rPr>
        <w:t>코드 분할, 지연 로딩, 번들 트리 셰이킹 및 의존성 정리</w:t>
      </w:r>
    </w:p>
    <w:p>
      <w:pPr>
        <w:pStyle w:val="ListParagraph"/>
        <w:spacing w:before="0" w:after="60" w:line="324" w:lineRule="auto"/>
        <w:numPr>
          <w:ilvl w:val="0"/>
          <w:numId w:val="6"/>
        </w:numPr>
      </w:pPr>
      <w:r>
        <w:rPr>
          <w:rFonts w:ascii="Noto Sans KR" w:hAnsi="Noto Sans KR" w:eastAsia="Noto Sans KR" w:cs="Noto Sans KR"/>
          <w:b w:val="0"/>
          <w:i w:val="0"/>
          <w:color w:val="222222"/>
          <w:sz w:val="21"/>
        </w:rPr>
        <w:t>중복 API 호출 제거, 요청 병합·취소·캐시·프리패치 적용</w:t>
      </w:r>
    </w:p>
    <w:p>
      <w:pPr>
        <w:pStyle w:val="ListParagraph"/>
        <w:spacing w:before="0" w:after="60" w:line="324" w:lineRule="auto"/>
        <w:numPr>
          <w:ilvl w:val="0"/>
          <w:numId w:val="6"/>
        </w:numPr>
      </w:pPr>
      <w:r>
        <w:rPr>
          <w:rFonts w:ascii="Noto Sans KR" w:hAnsi="Noto Sans KR" w:eastAsia="Noto Sans KR" w:cs="Noto Sans KR"/>
          <w:b w:val="0"/>
          <w:i w:val="0"/>
          <w:color w:val="222222"/>
          <w:sz w:val="21"/>
        </w:rPr>
        <w:t>이미지·폰트·정적 자산 최적화와 CDN 캐시 정책 개선</w:t>
      </w:r>
    </w:p>
    <w:p>
      <w:pPr>
        <w:pStyle w:val="ListParagraph"/>
        <w:spacing w:before="0" w:after="60" w:line="324" w:lineRule="auto"/>
        <w:numPr>
          <w:ilvl w:val="0"/>
          <w:numId w:val="6"/>
        </w:numPr>
      </w:pPr>
      <w:r>
        <w:rPr>
          <w:rFonts w:ascii="Noto Sans KR" w:hAnsi="Noto Sans KR" w:eastAsia="Noto Sans KR" w:cs="Noto Sans KR"/>
          <w:b w:val="0"/>
          <w:i w:val="0"/>
          <w:color w:val="222222"/>
          <w:sz w:val="21"/>
        </w:rPr>
        <w:t>목록 가상화, 대용량 화면의 점진적 렌더링 및 메모리 누수 제거</w:t>
      </w:r>
    </w:p>
    <w:p>
      <w:pPr>
        <w:pStyle w:val="ListParagraph"/>
        <w:spacing w:before="0" w:after="60" w:line="324" w:lineRule="auto"/>
        <w:numPr>
          <w:ilvl w:val="0"/>
          <w:numId w:val="6"/>
        </w:numPr>
      </w:pPr>
      <w:r>
        <w:rPr>
          <w:rFonts w:ascii="Noto Sans KR" w:hAnsi="Noto Sans KR" w:eastAsia="Noto Sans KR" w:cs="Noto Sans KR"/>
          <w:b w:val="0"/>
          <w:i w:val="0"/>
          <w:color w:val="222222"/>
          <w:sz w:val="21"/>
        </w:rPr>
        <w:t>접근성·키보드 동작·오류 처리 유지 여부를 회귀 테스트로 보증</w:t>
      </w:r>
    </w:p>
    <w:p>
      <w:pPr>
        <w:pStyle w:val="Heading2"/>
        <w:keepNext/>
        <w:spacing w:before="180" w:after="100" w:line="264" w:lineRule="auto"/>
      </w:pPr>
      <w:r>
        <w:rPr>
          <w:rFonts w:ascii="Noto Sans KR" w:hAnsi="Noto Sans KR" w:eastAsia="Noto Sans KR" w:cs="Noto Sans KR"/>
          <w:b/>
          <w:i w:val="0"/>
          <w:color w:val="17365D"/>
          <w:sz w:val="30"/>
        </w:rPr>
        <w:t>3.2 DRF → Django Ninja 전환의 의미</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757"/>
        <w:gridCol w:w="1984"/>
        <w:gridCol w:w="1984"/>
        <w:gridCol w:w="3345"/>
      </w:tblGrid>
      <w:tr>
        <w:trPr>
          <w:tblHeader w:val="true"/>
        </w:trPr>
        <w:tc>
          <w:tcPr>
            <w:tcW w:type="dxa" w:w="1757"/>
            <w:shd w:fill="D9E2F3"/>
            <w:tcMar>
              <w:top w:w="120" w:type="dxa"/>
              <w:start w:w="120" w:type="dxa"/>
              <w:bottom w:w="120" w:type="dxa"/>
              <w:end w:w="120" w:type="dxa"/>
            </w:tcMar>
            <w:vAlign w:val="center"/>
          </w:tcPr>
          <w:p>
            <w:pPr>
              <w:spacing w:before="0" w:after="0" w:line="276" w:lineRule="auto"/>
              <w:jc w:val="center"/>
            </w:pPr>
            <w:r>
              <w:rPr>
                <w:rFonts w:ascii="Noto Sans KR" w:hAnsi="Noto Sans KR" w:eastAsia="Noto Sans KR" w:cs="Noto Sans KR"/>
                <w:b/>
                <w:i w:val="0"/>
                <w:color w:val="17365D"/>
                <w:sz w:val="19"/>
              </w:rPr>
              <w:t>구분</w:t>
            </w:r>
          </w:p>
        </w:tc>
        <w:tc>
          <w:tcPr>
            <w:tcW w:type="dxa" w:w="1984"/>
            <w:shd w:fill="D9E2F3"/>
            <w:tcMar>
              <w:top w:w="120" w:type="dxa"/>
              <w:start w:w="120" w:type="dxa"/>
              <w:bottom w:w="120" w:type="dxa"/>
              <w:end w:w="120" w:type="dxa"/>
            </w:tcMar>
            <w:vAlign w:val="center"/>
          </w:tcPr>
          <w:p>
            <w:pPr>
              <w:spacing w:before="0" w:after="0" w:line="276" w:lineRule="auto"/>
              <w:jc w:val="center"/>
            </w:pPr>
            <w:r>
              <w:rPr>
                <w:rFonts w:ascii="Noto Sans KR" w:hAnsi="Noto Sans KR" w:eastAsia="Noto Sans KR" w:cs="Noto Sans KR"/>
                <w:b/>
                <w:i w:val="0"/>
                <w:color w:val="17365D"/>
                <w:sz w:val="19"/>
              </w:rPr>
              <w:t>V1</w:t>
            </w:r>
          </w:p>
        </w:tc>
        <w:tc>
          <w:tcPr>
            <w:tcW w:type="dxa" w:w="1984"/>
            <w:shd w:fill="D9E2F3"/>
            <w:tcMar>
              <w:top w:w="120" w:type="dxa"/>
              <w:start w:w="120" w:type="dxa"/>
              <w:bottom w:w="120" w:type="dxa"/>
              <w:end w:w="120" w:type="dxa"/>
            </w:tcMar>
            <w:vAlign w:val="center"/>
          </w:tcPr>
          <w:p>
            <w:pPr>
              <w:spacing w:before="0" w:after="0" w:line="276" w:lineRule="auto"/>
              <w:jc w:val="center"/>
            </w:pPr>
            <w:r>
              <w:rPr>
                <w:rFonts w:ascii="Noto Sans KR" w:hAnsi="Noto Sans KR" w:eastAsia="Noto Sans KR" w:cs="Noto Sans KR"/>
                <w:b/>
                <w:i w:val="0"/>
                <w:color w:val="17365D"/>
                <w:sz w:val="19"/>
              </w:rPr>
              <w:t>V2</w:t>
            </w:r>
          </w:p>
        </w:tc>
        <w:tc>
          <w:tcPr>
            <w:tcW w:type="dxa" w:w="3345"/>
            <w:shd w:fill="D9E2F3"/>
            <w:tcMar>
              <w:top w:w="120" w:type="dxa"/>
              <w:start w:w="120" w:type="dxa"/>
              <w:bottom w:w="120" w:type="dxa"/>
              <w:end w:w="120" w:type="dxa"/>
            </w:tcMar>
            <w:vAlign w:val="center"/>
          </w:tcPr>
          <w:p>
            <w:pPr>
              <w:spacing w:before="0" w:after="0" w:line="276" w:lineRule="auto"/>
              <w:jc w:val="center"/>
            </w:pPr>
            <w:r>
              <w:rPr>
                <w:rFonts w:ascii="Noto Sans KR" w:hAnsi="Noto Sans KR" w:eastAsia="Noto Sans KR" w:cs="Noto Sans KR"/>
                <w:b/>
                <w:i w:val="0"/>
                <w:color w:val="17365D"/>
                <w:sz w:val="19"/>
              </w:rPr>
              <w:t>프론트엔드에 대한 함의</w:t>
            </w:r>
          </w:p>
        </w:tc>
      </w:tr>
      <w:tr>
        <w:tc>
          <w:tcPr>
            <w:tcW w:type="dxa" w:w="1757"/>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백엔드 프레임워크</w:t>
            </w:r>
          </w:p>
        </w:tc>
        <w:tc>
          <w:tcPr>
            <w:tcW w:type="dxa" w:w="1984"/>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Django REST Framework</w:t>
            </w:r>
          </w:p>
        </w:tc>
        <w:tc>
          <w:tcPr>
            <w:tcW w:type="dxa" w:w="1984"/>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Django Ninja</w:t>
            </w:r>
          </w:p>
        </w:tc>
        <w:tc>
          <w:tcPr>
            <w:tcW w:type="dxa" w:w="3345"/>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서버 내부 구현 교체</w:t>
            </w:r>
          </w:p>
        </w:tc>
      </w:tr>
      <w:tr>
        <w:tc>
          <w:tcPr>
            <w:tcW w:type="dxa" w:w="1757"/>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스키마·검증</w:t>
            </w:r>
          </w:p>
        </w:tc>
        <w:tc>
          <w:tcPr>
            <w:tcW w:type="dxa" w:w="1984"/>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Serializer 중심</w:t>
            </w:r>
          </w:p>
        </w:tc>
        <w:tc>
          <w:tcPr>
            <w:tcW w:type="dxa" w:w="1984"/>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타입·스키마 중심</w:t>
            </w:r>
          </w:p>
        </w:tc>
        <w:tc>
          <w:tcPr>
            <w:tcW w:type="dxa" w:w="3345"/>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응답 계약을 같게 만들 수 있으나 자동으로 같아지지는 않음</w:t>
            </w:r>
          </w:p>
        </w:tc>
      </w:tr>
      <w:tr>
        <w:tc>
          <w:tcPr>
            <w:tcW w:type="dxa" w:w="1757"/>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라우팅·오류</w:t>
            </w:r>
          </w:p>
        </w:tc>
        <w:tc>
          <w:tcPr>
            <w:tcW w:type="dxa" w:w="1984"/>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DRF 관례</w:t>
            </w:r>
          </w:p>
        </w:tc>
        <w:tc>
          <w:tcPr>
            <w:tcW w:type="dxa" w:w="1984"/>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Ninja 관례</w:t>
            </w:r>
          </w:p>
        </w:tc>
        <w:tc>
          <w:tcPr>
            <w:tcW w:type="dxa" w:w="3345"/>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호환 계층 및 계약 테스트 필요</w:t>
            </w:r>
          </w:p>
        </w:tc>
      </w:tr>
      <w:tr>
        <w:tc>
          <w:tcPr>
            <w:tcW w:type="dxa" w:w="1757"/>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문서화</w:t>
            </w:r>
          </w:p>
        </w:tc>
        <w:tc>
          <w:tcPr>
            <w:tcW w:type="dxa" w:w="1984"/>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OpenAPI 지원</w:t>
            </w:r>
          </w:p>
        </w:tc>
        <w:tc>
          <w:tcPr>
            <w:tcW w:type="dxa" w:w="1984"/>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OpenAPI 자동화 강점</w:t>
            </w:r>
          </w:p>
        </w:tc>
        <w:tc>
          <w:tcPr>
            <w:tcW w:type="dxa" w:w="3345"/>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프론트 타입 생성·계약 검증에 활용 가능</w:t>
            </w:r>
          </w:p>
        </w:tc>
      </w:tr>
      <w:tr>
        <w:tc>
          <w:tcPr>
            <w:tcW w:type="dxa" w:w="1757"/>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성능</w:t>
            </w:r>
          </w:p>
        </w:tc>
        <w:tc>
          <w:tcPr>
            <w:tcW w:type="dxa" w:w="1984"/>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구현·쿼리에 좌우</w:t>
            </w:r>
          </w:p>
        </w:tc>
        <w:tc>
          <w:tcPr>
            <w:tcW w:type="dxa" w:w="1984"/>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낮은 오버헤드 기대 가능</w:t>
            </w:r>
          </w:p>
        </w:tc>
        <w:tc>
          <w:tcPr>
            <w:tcW w:type="dxa" w:w="3345"/>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사용자 체감 성능은 네트워크·렌더링까지 함께 측정해야 함</w:t>
            </w:r>
          </w:p>
        </w:tc>
      </w:tr>
    </w:tbl>
    <w:p>
      <w:pPr>
        <w:spacing w:after="20"/>
      </w:pPr>
    </w:p>
    <w:p>
      <w:pPr>
        <w:spacing w:before="0" w:after="120" w:line="324" w:lineRule="auto"/>
      </w:pPr>
      <w:r>
        <w:rPr>
          <w:rFonts w:ascii="Noto Sans KR" w:hAnsi="Noto Sans KR" w:eastAsia="Noto Sans KR" w:cs="Noto Sans KR"/>
          <w:b w:val="0"/>
          <w:i w:val="0"/>
          <w:color w:val="222222"/>
          <w:sz w:val="21"/>
        </w:rPr>
        <w:t>즉, DRF에서 Django Ninja로의 변경은 백엔드 리뉴얼의 실체를 뒷받침한다. 그러나 기존 API 계약을 유지할 수 있다는 사실은 ‘기존 프론트도 연결 가능하다’는 선택지를 제공할 뿐, ‘프론트 코드는 수정해서는 안 된다’는 결론을 만들지 않는다.</w:t>
      </w:r>
    </w:p>
    <w:p>
      <w:pPr>
        <w:pStyle w:val="Heading2"/>
        <w:keepNext/>
        <w:spacing w:before="180" w:after="100" w:line="264" w:lineRule="auto"/>
      </w:pPr>
      <w:r>
        <w:rPr>
          <w:rFonts w:ascii="Noto Sans KR" w:hAnsi="Noto Sans KR" w:eastAsia="Noto Sans KR" w:cs="Noto Sans KR"/>
          <w:b/>
          <w:i w:val="0"/>
          <w:color w:val="17365D"/>
          <w:sz w:val="30"/>
        </w:rPr>
        <w:t>3.3 API 호환성과 프론트엔드 리뉴얼은 별개 축</w:t>
      </w:r>
    </w:p>
    <w:p>
      <w:pPr>
        <w:spacing w:before="0" w:after="120" w:line="324" w:lineRule="auto"/>
      </w:pPr>
      <w:r>
        <w:rPr>
          <w:rFonts w:ascii="Noto Sans KR" w:hAnsi="Noto Sans KR" w:eastAsia="Noto Sans KR" w:cs="Noto Sans KR"/>
          <w:b w:val="0"/>
          <w:i w:val="0"/>
          <w:color w:val="222222"/>
          <w:sz w:val="21"/>
        </w:rPr>
        <w:t>API 호환성은 기존 클라이언트의 연속성을 위한 안전장치다. 프론트엔드 V2를 새로 만들거나 내부 구조를 개선하더라도 같은 API를 사용할 수 있다. 반대로 기존 프론트엔드를 유지하더라도 API 중복 호출, 렌더링 병목, 번들 비대화가 남아 있으면 사용자 체감 성능은 개선되지 않을 수 있다.</w:t>
      </w:r>
    </w:p>
    <w:p>
      <w:r>
        <w:br w:type="page"/>
      </w:r>
    </w:p>
    <w:p>
      <w:pPr>
        <w:pStyle w:val="Heading1"/>
        <w:keepNext/>
        <w:spacing w:before="200" w:after="100" w:line="264" w:lineRule="auto"/>
      </w:pPr>
      <w:r>
        <w:rPr>
          <w:rFonts w:ascii="Noto Sans KR" w:hAnsi="Noto Sans KR" w:eastAsia="Noto Sans KR" w:cs="Noto Sans KR"/>
          <w:b/>
          <w:i w:val="0"/>
          <w:color w:val="17365D"/>
          <w:sz w:val="40"/>
        </w:rPr>
        <w:t>4. 성능개선 주장에 대한 검증 범위</w:t>
      </w:r>
    </w:p>
    <w:p>
      <w:pPr>
        <w:pStyle w:val="Heading2"/>
        <w:keepNext/>
        <w:spacing w:before="180" w:after="100" w:line="264" w:lineRule="auto"/>
      </w:pPr>
      <w:r>
        <w:rPr>
          <w:rFonts w:ascii="Noto Sans KR" w:hAnsi="Noto Sans KR" w:eastAsia="Noto Sans KR" w:cs="Noto Sans KR"/>
          <w:b/>
          <w:i w:val="0"/>
          <w:color w:val="17365D"/>
          <w:sz w:val="30"/>
        </w:rPr>
        <w:t>4.1 종료보고서가 제시한 대표 지표</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041"/>
        <w:gridCol w:w="1984"/>
        <w:gridCol w:w="2381"/>
        <w:gridCol w:w="2665"/>
      </w:tblGrid>
      <w:tr>
        <w:trPr>
          <w:tblHeader w:val="true"/>
        </w:trPr>
        <w:tc>
          <w:tcPr>
            <w:tcW w:type="dxa" w:w="2041"/>
            <w:shd w:fill="D9E2F3"/>
            <w:tcMar>
              <w:top w:w="120" w:type="dxa"/>
              <w:start w:w="120" w:type="dxa"/>
              <w:bottom w:w="120" w:type="dxa"/>
              <w:end w:w="120" w:type="dxa"/>
            </w:tcMar>
            <w:vAlign w:val="center"/>
          </w:tcPr>
          <w:p>
            <w:pPr>
              <w:spacing w:before="0" w:after="0" w:line="276" w:lineRule="auto"/>
              <w:jc w:val="center"/>
            </w:pPr>
            <w:r>
              <w:rPr>
                <w:rFonts w:ascii="Noto Sans KR" w:hAnsi="Noto Sans KR" w:eastAsia="Noto Sans KR" w:cs="Noto Sans KR"/>
                <w:b/>
                <w:i w:val="0"/>
                <w:color w:val="17365D"/>
                <w:sz w:val="19"/>
              </w:rPr>
              <w:t>지표</w:t>
            </w:r>
          </w:p>
        </w:tc>
        <w:tc>
          <w:tcPr>
            <w:tcW w:type="dxa" w:w="1984"/>
            <w:shd w:fill="D9E2F3"/>
            <w:tcMar>
              <w:top w:w="120" w:type="dxa"/>
              <w:start w:w="120" w:type="dxa"/>
              <w:bottom w:w="120" w:type="dxa"/>
              <w:end w:w="120" w:type="dxa"/>
            </w:tcMar>
            <w:vAlign w:val="center"/>
          </w:tcPr>
          <w:p>
            <w:pPr>
              <w:spacing w:before="0" w:after="0" w:line="276" w:lineRule="auto"/>
              <w:jc w:val="center"/>
            </w:pPr>
            <w:r>
              <w:rPr>
                <w:rFonts w:ascii="Noto Sans KR" w:hAnsi="Noto Sans KR" w:eastAsia="Noto Sans KR" w:cs="Noto Sans KR"/>
                <w:b/>
                <w:i w:val="0"/>
                <w:color w:val="17365D"/>
                <w:sz w:val="19"/>
              </w:rPr>
              <w:t>보고서 수치</w:t>
            </w:r>
          </w:p>
        </w:tc>
        <w:tc>
          <w:tcPr>
            <w:tcW w:type="dxa" w:w="2381"/>
            <w:shd w:fill="D9E2F3"/>
            <w:tcMar>
              <w:top w:w="120" w:type="dxa"/>
              <w:start w:w="120" w:type="dxa"/>
              <w:bottom w:w="120" w:type="dxa"/>
              <w:end w:w="120" w:type="dxa"/>
            </w:tcMar>
            <w:vAlign w:val="center"/>
          </w:tcPr>
          <w:p>
            <w:pPr>
              <w:spacing w:before="0" w:after="0" w:line="276" w:lineRule="auto"/>
              <w:jc w:val="center"/>
            </w:pPr>
            <w:r>
              <w:rPr>
                <w:rFonts w:ascii="Noto Sans KR" w:hAnsi="Noto Sans KR" w:eastAsia="Noto Sans KR" w:cs="Noto Sans KR"/>
                <w:b/>
                <w:i w:val="0"/>
                <w:color w:val="17365D"/>
                <w:sz w:val="19"/>
              </w:rPr>
              <w:t>주된 개선 계층</w:t>
            </w:r>
          </w:p>
        </w:tc>
        <w:tc>
          <w:tcPr>
            <w:tcW w:type="dxa" w:w="2665"/>
            <w:shd w:fill="D9E2F3"/>
            <w:tcMar>
              <w:top w:w="120" w:type="dxa"/>
              <w:start w:w="120" w:type="dxa"/>
              <w:bottom w:w="120" w:type="dxa"/>
              <w:end w:w="120" w:type="dxa"/>
            </w:tcMar>
            <w:vAlign w:val="center"/>
          </w:tcPr>
          <w:p>
            <w:pPr>
              <w:spacing w:before="0" w:after="0" w:line="276" w:lineRule="auto"/>
              <w:jc w:val="center"/>
            </w:pPr>
            <w:r>
              <w:rPr>
                <w:rFonts w:ascii="Noto Sans KR" w:hAnsi="Noto Sans KR" w:eastAsia="Noto Sans KR" w:cs="Noto Sans KR"/>
                <w:b/>
                <w:i w:val="0"/>
                <w:color w:val="17365D"/>
                <w:sz w:val="19"/>
              </w:rPr>
              <w:t>판단 가능 범위</w:t>
            </w:r>
          </w:p>
        </w:tc>
      </w:tr>
      <w:tr>
        <w:tc>
          <w:tcPr>
            <w:tcW w:type="dxa" w:w="2041"/>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진단 생성</w:t>
            </w:r>
          </w:p>
        </w:tc>
        <w:tc>
          <w:tcPr>
            <w:tcW w:type="dxa" w:w="1984"/>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366ms → 35ms, 10.5배</w:t>
            </w:r>
          </w:p>
        </w:tc>
        <w:tc>
          <w:tcPr>
            <w:tcW w:type="dxa" w:w="2381"/>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DB 모델·쿼리·백엔드</w:t>
            </w:r>
          </w:p>
        </w:tc>
        <w:tc>
          <w:tcPr>
            <w:tcW w:type="dxa" w:w="2665"/>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서버 처리 성능 개선</w:t>
            </w:r>
          </w:p>
        </w:tc>
      </w:tr>
      <w:tr>
        <w:tc>
          <w:tcPr>
            <w:tcW w:type="dxa" w:w="2041"/>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목록 조회</w:t>
            </w:r>
          </w:p>
        </w:tc>
        <w:tc>
          <w:tcPr>
            <w:tcW w:type="dxa" w:w="1984"/>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651ms → 55ms, 11.9배</w:t>
            </w:r>
          </w:p>
        </w:tc>
        <w:tc>
          <w:tcPr>
            <w:tcW w:type="dxa" w:w="2381"/>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DB 읽기·스냅샷</w:t>
            </w:r>
          </w:p>
        </w:tc>
        <w:tc>
          <w:tcPr>
            <w:tcW w:type="dxa" w:w="2665"/>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API 처리 성능 개선</w:t>
            </w:r>
          </w:p>
        </w:tc>
      </w:tr>
      <w:tr>
        <w:tc>
          <w:tcPr>
            <w:tcW w:type="dxa" w:w="2041"/>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웹공시 첫 응답</w:t>
            </w:r>
          </w:p>
        </w:tc>
        <w:tc>
          <w:tcPr>
            <w:tcW w:type="dxa" w:w="1984"/>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0.37초 → 0.04초, 약 10배</w:t>
            </w:r>
          </w:p>
        </w:tc>
        <w:tc>
          <w:tcPr>
            <w:tcW w:type="dxa" w:w="2381"/>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정적 생성·CDN 캐시</w:t>
            </w:r>
          </w:p>
        </w:tc>
        <w:tc>
          <w:tcPr>
            <w:tcW w:type="dxa" w:w="2665"/>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해당 응답 경로 개선</w:t>
            </w:r>
          </w:p>
        </w:tc>
      </w:tr>
      <w:tr>
        <w:tc>
          <w:tcPr>
            <w:tcW w:type="dxa" w:w="2041"/>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전송 데이터</w:t>
            </w:r>
          </w:p>
        </w:tc>
        <w:tc>
          <w:tcPr>
            <w:tcW w:type="dxa" w:w="1984"/>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159KB → 96KB, 약 40% 감소</w:t>
            </w:r>
          </w:p>
        </w:tc>
        <w:tc>
          <w:tcPr>
            <w:tcW w:type="dxa" w:w="2381"/>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응답·정적 자산</w:t>
            </w:r>
          </w:p>
        </w:tc>
        <w:tc>
          <w:tcPr>
            <w:tcW w:type="dxa" w:w="2665"/>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해당 시나리오 전송량 개선</w:t>
            </w:r>
          </w:p>
        </w:tc>
      </w:tr>
    </w:tbl>
    <w:p>
      <w:pPr>
        <w:spacing w:after="20"/>
      </w:pPr>
    </w:p>
    <w:p>
      <w:pPr>
        <w:spacing w:before="0" w:after="120" w:line="324" w:lineRule="auto"/>
      </w:pPr>
      <w:r>
        <w:rPr>
          <w:rFonts w:ascii="Noto Sans KR" w:hAnsi="Noto Sans KR" w:eastAsia="Noto Sans KR" w:cs="Noto Sans KR"/>
          <w:b w:val="0"/>
          <w:i w:val="0"/>
          <w:color w:val="222222"/>
          <w:sz w:val="21"/>
        </w:rPr>
        <w:t>위 수치는 백엔드 및 데이터 제공 계층의 개선을 보여주는 유의미한 근거다. 다만 전체 서비스의 프론트엔드 성능이 개선되었다는 결론을 내리려면 브라우저에서 사용자가 실제로 경험하는 종단간 지표가 추가되어야 한다.</w:t>
      </w:r>
    </w:p>
    <w:p>
      <w:pPr>
        <w:pStyle w:val="Heading2"/>
        <w:keepNext/>
        <w:spacing w:before="180" w:after="100" w:line="264" w:lineRule="auto"/>
      </w:pPr>
      <w:r>
        <w:rPr>
          <w:rFonts w:ascii="Noto Sans KR" w:hAnsi="Noto Sans KR" w:eastAsia="Noto Sans KR" w:cs="Noto Sans KR"/>
          <w:b/>
          <w:i w:val="0"/>
          <w:color w:val="17365D"/>
          <w:sz w:val="30"/>
        </w:rPr>
        <w:t>4.2 추가로 필요한 종단간 지표</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814"/>
        <w:gridCol w:w="3969"/>
        <w:gridCol w:w="3288"/>
      </w:tblGrid>
      <w:tr>
        <w:trPr>
          <w:tblHeader w:val="true"/>
        </w:trPr>
        <w:tc>
          <w:tcPr>
            <w:tcW w:type="dxa" w:w="1814"/>
            <w:shd w:fill="D9E2F3"/>
            <w:tcMar>
              <w:top w:w="120" w:type="dxa"/>
              <w:start w:w="120" w:type="dxa"/>
              <w:bottom w:w="120" w:type="dxa"/>
              <w:end w:w="120" w:type="dxa"/>
            </w:tcMar>
            <w:vAlign w:val="center"/>
          </w:tcPr>
          <w:p>
            <w:pPr>
              <w:spacing w:before="0" w:after="0" w:line="276" w:lineRule="auto"/>
              <w:jc w:val="center"/>
            </w:pPr>
            <w:r>
              <w:rPr>
                <w:rFonts w:ascii="Noto Sans KR" w:hAnsi="Noto Sans KR" w:eastAsia="Noto Sans KR" w:cs="Noto Sans KR"/>
                <w:b/>
                <w:i w:val="0"/>
                <w:color w:val="17365D"/>
                <w:sz w:val="19"/>
              </w:rPr>
              <w:t>검증 영역</w:t>
            </w:r>
          </w:p>
        </w:tc>
        <w:tc>
          <w:tcPr>
            <w:tcW w:type="dxa" w:w="3969"/>
            <w:shd w:fill="D9E2F3"/>
            <w:tcMar>
              <w:top w:w="120" w:type="dxa"/>
              <w:start w:w="120" w:type="dxa"/>
              <w:bottom w:w="120" w:type="dxa"/>
              <w:end w:w="120" w:type="dxa"/>
            </w:tcMar>
            <w:vAlign w:val="center"/>
          </w:tcPr>
          <w:p>
            <w:pPr>
              <w:spacing w:before="0" w:after="0" w:line="276" w:lineRule="auto"/>
              <w:jc w:val="center"/>
            </w:pPr>
            <w:r>
              <w:rPr>
                <w:rFonts w:ascii="Noto Sans KR" w:hAnsi="Noto Sans KR" w:eastAsia="Noto Sans KR" w:cs="Noto Sans KR"/>
                <w:b/>
                <w:i w:val="0"/>
                <w:color w:val="17365D"/>
                <w:sz w:val="19"/>
              </w:rPr>
              <w:t>권장 지표</w:t>
            </w:r>
          </w:p>
        </w:tc>
        <w:tc>
          <w:tcPr>
            <w:tcW w:type="dxa" w:w="3288"/>
            <w:shd w:fill="D9E2F3"/>
            <w:tcMar>
              <w:top w:w="120" w:type="dxa"/>
              <w:start w:w="120" w:type="dxa"/>
              <w:bottom w:w="120" w:type="dxa"/>
              <w:end w:w="120" w:type="dxa"/>
            </w:tcMar>
            <w:vAlign w:val="center"/>
          </w:tcPr>
          <w:p>
            <w:pPr>
              <w:spacing w:before="0" w:after="0" w:line="276" w:lineRule="auto"/>
              <w:jc w:val="center"/>
            </w:pPr>
            <w:r>
              <w:rPr>
                <w:rFonts w:ascii="Noto Sans KR" w:hAnsi="Noto Sans KR" w:eastAsia="Noto Sans KR" w:cs="Noto Sans KR"/>
                <w:b/>
                <w:i w:val="0"/>
                <w:color w:val="17365D"/>
                <w:sz w:val="19"/>
              </w:rPr>
              <w:t>동일 조건</w:t>
            </w:r>
          </w:p>
        </w:tc>
      </w:tr>
      <w:tr>
        <w:tc>
          <w:tcPr>
            <w:tcW w:type="dxa" w:w="1814"/>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초기 로딩</w:t>
            </w:r>
          </w:p>
        </w:tc>
        <w:tc>
          <w:tcPr>
            <w:tcW w:type="dxa" w:w="3969"/>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LCP, FCP, TTFB, 초기 JS/CSS 전송량</w:t>
            </w:r>
          </w:p>
        </w:tc>
        <w:tc>
          <w:tcPr>
            <w:tcW w:type="dxa" w:w="328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동일 기기·망·캐시 상태·데이터</w:t>
            </w:r>
          </w:p>
        </w:tc>
      </w:tr>
      <w:tr>
        <w:tc>
          <w:tcPr>
            <w:tcW w:type="dxa" w:w="1814"/>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상호작용</w:t>
            </w:r>
          </w:p>
        </w:tc>
        <w:tc>
          <w:tcPr>
            <w:tcW w:type="dxa" w:w="3969"/>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INP, 입력 지연, 화면 전환 완료 시간</w:t>
            </w:r>
          </w:p>
        </w:tc>
        <w:tc>
          <w:tcPr>
            <w:tcW w:type="dxa" w:w="328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동일 사용자 시나리오</w:t>
            </w:r>
          </w:p>
        </w:tc>
      </w:tr>
      <w:tr>
        <w:tc>
          <w:tcPr>
            <w:tcW w:type="dxa" w:w="1814"/>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화면 안정성</w:t>
            </w:r>
          </w:p>
        </w:tc>
        <w:tc>
          <w:tcPr>
            <w:tcW w:type="dxa" w:w="3969"/>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CLS, 레이아웃 이동 및 깜빡임</w:t>
            </w:r>
          </w:p>
        </w:tc>
        <w:tc>
          <w:tcPr>
            <w:tcW w:type="dxa" w:w="328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동일 해상도·브라우저</w:t>
            </w:r>
          </w:p>
        </w:tc>
      </w:tr>
      <w:tr>
        <w:tc>
          <w:tcPr>
            <w:tcW w:type="dxa" w:w="1814"/>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API 사용</w:t>
            </w:r>
          </w:p>
        </w:tc>
        <w:tc>
          <w:tcPr>
            <w:tcW w:type="dxa" w:w="3969"/>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요청 수, 중복 요청, 오류율, 취소되지 않은 요청</w:t>
            </w:r>
          </w:p>
        </w:tc>
        <w:tc>
          <w:tcPr>
            <w:tcW w:type="dxa" w:w="328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동일 업무 흐름</w:t>
            </w:r>
          </w:p>
        </w:tc>
      </w:tr>
      <w:tr>
        <w:tc>
          <w:tcPr>
            <w:tcW w:type="dxa" w:w="1814"/>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자원 사용</w:t>
            </w:r>
          </w:p>
        </w:tc>
        <w:tc>
          <w:tcPr>
            <w:tcW w:type="dxa" w:w="3969"/>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메모리, CPU, 장시간 사용 시 누수</w:t>
            </w:r>
          </w:p>
        </w:tc>
        <w:tc>
          <w:tcPr>
            <w:tcW w:type="dxa" w:w="328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동일 세션 길이</w:t>
            </w:r>
          </w:p>
        </w:tc>
      </w:tr>
      <w:tr>
        <w:tc>
          <w:tcPr>
            <w:tcW w:type="dxa" w:w="1814"/>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회귀</w:t>
            </w:r>
          </w:p>
        </w:tc>
        <w:tc>
          <w:tcPr>
            <w:tcW w:type="dxa" w:w="3969"/>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스크린샷·DOM·접근성·업무 시나리오</w:t>
            </w:r>
          </w:p>
        </w:tc>
        <w:tc>
          <w:tcPr>
            <w:tcW w:type="dxa" w:w="328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V1 기준선 대비</w:t>
            </w:r>
          </w:p>
        </w:tc>
      </w:tr>
    </w:tbl>
    <w:p>
      <w:pPr>
        <w:spacing w:after="20"/>
      </w:pPr>
    </w:p>
    <w:p>
      <w:pPr>
        <w:pStyle w:val="Heading2"/>
        <w:keepNext/>
        <w:spacing w:before="180" w:after="100" w:line="264" w:lineRule="auto"/>
      </w:pPr>
      <w:r>
        <w:rPr>
          <w:rFonts w:ascii="Noto Sans KR" w:hAnsi="Noto Sans KR" w:eastAsia="Noto Sans KR" w:cs="Noto Sans KR"/>
          <w:b/>
          <w:i w:val="0"/>
          <w:color w:val="17365D"/>
          <w:sz w:val="30"/>
        </w:rPr>
        <w:t>4.3 표현상 수정이 필요한 부분</w:t>
      </w:r>
    </w:p>
    <w:p>
      <w:pPr>
        <w:spacing w:before="0" w:after="120" w:line="324" w:lineRule="auto"/>
      </w:pPr>
      <w:r>
        <w:rPr>
          <w:rFonts w:ascii="Noto Sans KR" w:hAnsi="Noto Sans KR" w:eastAsia="Noto Sans KR" w:cs="Noto Sans KR"/>
          <w:b w:val="0"/>
          <w:i w:val="0"/>
          <w:color w:val="222222"/>
          <w:sz w:val="21"/>
        </w:rPr>
        <w:t>종단간 증거가 없다면 보고서의 결론은 “백엔드 처리 구조 및 특정 제공 경로의 성능이 개선되었다”로 한정하는 것이 타당하다. “시스템 전체 성능” 또는 “사용자 체감 성능” 개선으로 표현하려면 위 브라우저 지표와 실제 업무 시나리오 결과가 함께 제시되어야 한다.</w:t>
      </w:r>
    </w:p>
    <w:p>
      <w:r>
        <w:br w:type="page"/>
      </w:r>
    </w:p>
    <w:p>
      <w:pPr>
        <w:pStyle w:val="Heading1"/>
        <w:keepNext/>
        <w:spacing w:before="200" w:after="100" w:line="264" w:lineRule="auto"/>
      </w:pPr>
      <w:r>
        <w:rPr>
          <w:rFonts w:ascii="Noto Sans KR" w:hAnsi="Noto Sans KR" w:eastAsia="Noto Sans KR" w:cs="Noto Sans KR"/>
          <w:b/>
          <w:i w:val="0"/>
          <w:color w:val="17365D"/>
          <w:sz w:val="40"/>
        </w:rPr>
        <w:t>5. 범위 변경 및 수용 기준 검토</w:t>
      </w:r>
    </w:p>
    <w:p>
      <w:pPr>
        <w:pStyle w:val="Heading2"/>
        <w:keepNext/>
        <w:spacing w:before="180" w:after="100" w:line="264" w:lineRule="auto"/>
      </w:pPr>
      <w:r>
        <w:rPr>
          <w:rFonts w:ascii="Noto Sans KR" w:hAnsi="Noto Sans KR" w:eastAsia="Noto Sans KR" w:cs="Noto Sans KR"/>
          <w:b/>
          <w:i w:val="0"/>
          <w:color w:val="17365D"/>
          <w:sz w:val="30"/>
        </w:rPr>
        <w:t>5.1 반드시 확인할 증빙</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814"/>
        <w:gridCol w:w="3402"/>
        <w:gridCol w:w="3855"/>
      </w:tblGrid>
      <w:tr>
        <w:trPr>
          <w:tblHeader w:val="true"/>
        </w:trPr>
        <w:tc>
          <w:tcPr>
            <w:tcW w:type="dxa" w:w="1814"/>
            <w:shd w:fill="D9E2F3"/>
            <w:tcMar>
              <w:top w:w="120" w:type="dxa"/>
              <w:start w:w="120" w:type="dxa"/>
              <w:bottom w:w="120" w:type="dxa"/>
              <w:end w:w="120" w:type="dxa"/>
            </w:tcMar>
            <w:vAlign w:val="center"/>
          </w:tcPr>
          <w:p>
            <w:pPr>
              <w:spacing w:before="0" w:after="0" w:line="276" w:lineRule="auto"/>
              <w:jc w:val="center"/>
            </w:pPr>
            <w:r>
              <w:rPr>
                <w:rFonts w:ascii="Noto Sans KR" w:hAnsi="Noto Sans KR" w:eastAsia="Noto Sans KR" w:cs="Noto Sans KR"/>
                <w:b/>
                <w:i w:val="0"/>
                <w:color w:val="17365D"/>
                <w:sz w:val="19"/>
              </w:rPr>
              <w:t>구분</w:t>
            </w:r>
          </w:p>
        </w:tc>
        <w:tc>
          <w:tcPr>
            <w:tcW w:type="dxa" w:w="3402"/>
            <w:shd w:fill="D9E2F3"/>
            <w:tcMar>
              <w:top w:w="120" w:type="dxa"/>
              <w:start w:w="120" w:type="dxa"/>
              <w:bottom w:w="120" w:type="dxa"/>
              <w:end w:w="120" w:type="dxa"/>
            </w:tcMar>
            <w:vAlign w:val="center"/>
          </w:tcPr>
          <w:p>
            <w:pPr>
              <w:spacing w:before="0" w:after="0" w:line="276" w:lineRule="auto"/>
              <w:jc w:val="center"/>
            </w:pPr>
            <w:r>
              <w:rPr>
                <w:rFonts w:ascii="Noto Sans KR" w:hAnsi="Noto Sans KR" w:eastAsia="Noto Sans KR" w:cs="Noto Sans KR"/>
                <w:b/>
                <w:i w:val="0"/>
                <w:color w:val="17365D"/>
                <w:sz w:val="19"/>
              </w:rPr>
              <w:t>확인 문서·증거</w:t>
            </w:r>
          </w:p>
        </w:tc>
        <w:tc>
          <w:tcPr>
            <w:tcW w:type="dxa" w:w="3855"/>
            <w:shd w:fill="D9E2F3"/>
            <w:tcMar>
              <w:top w:w="120" w:type="dxa"/>
              <w:start w:w="120" w:type="dxa"/>
              <w:bottom w:w="120" w:type="dxa"/>
              <w:end w:w="120" w:type="dxa"/>
            </w:tcMar>
            <w:vAlign w:val="center"/>
          </w:tcPr>
          <w:p>
            <w:pPr>
              <w:spacing w:before="0" w:after="0" w:line="276" w:lineRule="auto"/>
              <w:jc w:val="center"/>
            </w:pPr>
            <w:r>
              <w:rPr>
                <w:rFonts w:ascii="Noto Sans KR" w:hAnsi="Noto Sans KR" w:eastAsia="Noto Sans KR" w:cs="Noto Sans KR"/>
                <w:b/>
                <w:i w:val="0"/>
                <w:color w:val="17365D"/>
                <w:sz w:val="19"/>
              </w:rPr>
              <w:t>확인할 핵심 질문</w:t>
            </w:r>
          </w:p>
        </w:tc>
      </w:tr>
      <w:tr>
        <w:tc>
          <w:tcPr>
            <w:tcW w:type="dxa" w:w="1814"/>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계약 기준선</w:t>
            </w:r>
          </w:p>
        </w:tc>
        <w:tc>
          <w:tcPr>
            <w:tcW w:type="dxa" w:w="3402"/>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계약서, 제안서, 과업지시서, 요구사항 명세</w:t>
            </w:r>
          </w:p>
        </w:tc>
        <w:tc>
          <w:tcPr>
            <w:tcW w:type="dxa" w:w="3855"/>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프론트·백엔드 V2 리뉴얼이 모두 범위였는가?</w:t>
            </w:r>
          </w:p>
        </w:tc>
      </w:tr>
      <w:tr>
        <w:tc>
          <w:tcPr>
            <w:tcW w:type="dxa" w:w="1814"/>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전략 변경</w:t>
            </w:r>
          </w:p>
        </w:tc>
        <w:tc>
          <w:tcPr>
            <w:tcW w:type="dxa" w:w="3402"/>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2026-04-25 결정 문서, 회의록, 변경요청서</w:t>
            </w:r>
          </w:p>
        </w:tc>
        <w:tc>
          <w:tcPr>
            <w:tcW w:type="dxa" w:w="3855"/>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프론트 신규 개발 중단을 누가 어떤 조건으로 승인했는가?</w:t>
            </w:r>
          </w:p>
        </w:tc>
      </w:tr>
      <w:tr>
        <w:tc>
          <w:tcPr>
            <w:tcW w:type="dxa" w:w="1814"/>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영향분석</w:t>
            </w:r>
          </w:p>
        </w:tc>
        <w:tc>
          <w:tcPr>
            <w:tcW w:type="dxa" w:w="3402"/>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일정·비용·산출물·기술부채 분석</w:t>
            </w:r>
          </w:p>
        </w:tc>
        <w:tc>
          <w:tcPr>
            <w:tcW w:type="dxa" w:w="3855"/>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14.7만 라인 중단분과 기존 코드 유지 리스크를 어떻게 처리했는가?</w:t>
            </w:r>
          </w:p>
        </w:tc>
      </w:tr>
      <w:tr>
        <w:tc>
          <w:tcPr>
            <w:tcW w:type="dxa" w:w="1814"/>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수정 인수기준</w:t>
            </w:r>
          </w:p>
        </w:tc>
        <w:tc>
          <w:tcPr>
            <w:tcW w:type="dxa" w:w="3402"/>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변경된 검수표와 승인 기록</w:t>
            </w:r>
          </w:p>
        </w:tc>
        <w:tc>
          <w:tcPr>
            <w:tcW w:type="dxa" w:w="3855"/>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프론트 리뉴얼 대신 어떤 결과를 납품 완료로 인정했는가?</w:t>
            </w:r>
          </w:p>
        </w:tc>
      </w:tr>
      <w:tr>
        <w:tc>
          <w:tcPr>
            <w:tcW w:type="dxa" w:w="1814"/>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성능 기준선</w:t>
            </w:r>
          </w:p>
        </w:tc>
        <w:tc>
          <w:tcPr>
            <w:tcW w:type="dxa" w:w="3402"/>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측정 스크립트·원시 결과·환경 정보</w:t>
            </w:r>
          </w:p>
        </w:tc>
        <w:tc>
          <w:tcPr>
            <w:tcW w:type="dxa" w:w="3855"/>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백엔드 지표와 종단간 지표가 분리되어 있는가?</w:t>
            </w:r>
          </w:p>
        </w:tc>
      </w:tr>
      <w:tr>
        <w:tc>
          <w:tcPr>
            <w:tcW w:type="dxa" w:w="1814"/>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프론트 상태</w:t>
            </w:r>
          </w:p>
        </w:tc>
        <w:tc>
          <w:tcPr>
            <w:tcW w:type="dxa" w:w="3402"/>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V1/V2 저장소 비교, 빌드·배포 이력</w:t>
            </w:r>
          </w:p>
        </w:tc>
        <w:tc>
          <w:tcPr>
            <w:tcW w:type="dxa" w:w="3855"/>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‘그대로 보존’의 범위가 소스, 의존성, 설정, 배포 중 어디까지인가?</w:t>
            </w:r>
          </w:p>
        </w:tc>
      </w:tr>
    </w:tbl>
    <w:p>
      <w:pPr>
        <w:spacing w:after="20"/>
      </w:pPr>
    </w:p>
    <w:p>
      <w:pPr>
        <w:pStyle w:val="Heading2"/>
        <w:keepNext/>
        <w:spacing w:before="180" w:after="100" w:line="264" w:lineRule="auto"/>
      </w:pPr>
      <w:r>
        <w:rPr>
          <w:rFonts w:ascii="Noto Sans KR" w:hAnsi="Noto Sans KR" w:eastAsia="Noto Sans KR" w:cs="Noto Sans KR"/>
          <w:b/>
          <w:i w:val="0"/>
          <w:color w:val="17365D"/>
          <w:sz w:val="30"/>
        </w:rPr>
        <w:t>5.2 판단 기준</w:t>
      </w:r>
    </w:p>
    <w:tbl>
      <w:tblPr>
        <w:tblW w:type="auto" w:w="0"/>
        <w:jc w:val="center"/>
        <w:tblLayout w:type="fixed"/>
        <w:tblLook w:firstColumn="1" w:firstRow="1" w:lastColumn="0" w:lastRow="0" w:noHBand="0" w:noVBand="1" w:val="04A0"/>
        <w:tblBorders>
          <w:top w:val="single" w:sz="8" w:space="0" w:color="17365D"/>
          <w:left w:val="single" w:sz="8" w:space="0" w:color="17365D"/>
          <w:bottom w:val="single" w:sz="8" w:space="0" w:color="17365D"/>
          <w:right w:val="single" w:sz="8" w:space="0" w:color="17365D"/>
          <w:insideH w:val="single" w:sz="8" w:space="0" w:color="17365D"/>
          <w:insideV w:val="single" w:sz="8" w:space="0" w:color="17365D"/>
        </w:tblBorders>
      </w:tblPr>
      <w:tblGrid>
        <w:gridCol w:w="9071"/>
      </w:tblGrid>
      <w:tr>
        <w:tc>
          <w:tcPr>
            <w:tcW w:type="dxa" w:w="9071"/>
            <w:shd w:fill="EAF0F8"/>
            <w:tcMar>
              <w:top w:w="160" w:type="dxa"/>
              <w:start w:w="180" w:type="dxa"/>
              <w:bottom w:w="150" w:type="dxa"/>
              <w:end w:w="180" w:type="dxa"/>
            </w:tcMar>
          </w:tcPr>
          <w:p>
            <w:pPr>
              <w:spacing w:before="0" w:after="80" w:line="324" w:lineRule="auto"/>
            </w:pPr>
            <w:r>
              <w:rPr>
                <w:rFonts w:ascii="Noto Sans KR" w:hAnsi="Noto Sans KR" w:eastAsia="Noto Sans KR" w:cs="Noto Sans KR"/>
                <w:b/>
                <w:i w:val="0"/>
                <w:color w:val="17365D"/>
                <w:sz w:val="22"/>
              </w:rPr>
              <w:t>판단 원칙</w:t>
            </w:r>
          </w:p>
          <w:p>
            <w:pPr>
              <w:spacing w:before="0" w:after="0" w:line="324" w:lineRule="auto"/>
            </w:pPr>
            <w:r>
              <w:rPr>
                <w:rFonts w:ascii="Noto Sans KR" w:hAnsi="Noto Sans KR" w:eastAsia="Noto Sans KR" w:cs="Noto Sans KR"/>
                <w:b w:val="0"/>
                <w:i w:val="0"/>
                <w:color w:val="222222"/>
                <w:sz w:val="21"/>
              </w:rPr>
              <w:t>명시적 승인과 수정된 인수기준이 확인되면 ‘기존 프론트 보존 + 백엔드 전면 재구축’은 합의된 범위 변경으로 평가할 수 있다. 반대로 당초 범위가 프론트·백엔드 전체 리뉴얼인데 승인 자료가 없다면, UI/UX 동일성만을 이유로 프론트엔드 리뉴얼을 제외한 것은 과업 축소 또는 미이행 여부를 검토해야 한다.</w:t>
            </w:r>
          </w:p>
        </w:tc>
      </w:tr>
    </w:tbl>
    <w:p>
      <w:pPr>
        <w:spacing w:after="20"/>
      </w:pPr>
    </w:p>
    <w:p>
      <w:pPr>
        <w:pStyle w:val="Heading2"/>
        <w:keepNext/>
        <w:spacing w:before="180" w:after="100" w:line="264" w:lineRule="auto"/>
      </w:pPr>
      <w:r>
        <w:rPr>
          <w:rFonts w:ascii="Noto Sans KR" w:hAnsi="Noto Sans KR" w:eastAsia="Noto Sans KR" w:cs="Noto Sans KR"/>
          <w:b/>
          <w:i w:val="0"/>
          <w:color w:val="17365D"/>
          <w:sz w:val="30"/>
        </w:rPr>
        <w:t>5.3 권장 수용 기준</w:t>
      </w:r>
    </w:p>
    <w:p>
      <w:pPr>
        <w:pStyle w:val="ListParagraph"/>
        <w:spacing w:before="0" w:after="60" w:line="324" w:lineRule="auto"/>
        <w:numPr>
          <w:ilvl w:val="0"/>
          <w:numId w:val="9"/>
        </w:numPr>
      </w:pPr>
      <w:r>
        <w:rPr>
          <w:rFonts w:ascii="Noto Sans KR" w:hAnsi="Noto Sans KR" w:eastAsia="Noto Sans KR" w:cs="Noto Sans KR"/>
          <w:b w:val="0"/>
          <w:i w:val="0"/>
          <w:color w:val="222222"/>
          <w:sz w:val="21"/>
        </w:rPr>
        <w:t>기능 동등성: 기존 업무 시나리오 전건 통과 및 회귀 이슈 종결</w:t>
      </w:r>
    </w:p>
    <w:p>
      <w:pPr>
        <w:pStyle w:val="ListParagraph"/>
        <w:spacing w:before="0" w:after="60" w:line="324" w:lineRule="auto"/>
        <w:numPr>
          <w:ilvl w:val="0"/>
          <w:numId w:val="9"/>
        </w:numPr>
      </w:pPr>
      <w:r>
        <w:rPr>
          <w:rFonts w:ascii="Noto Sans KR" w:hAnsi="Noto Sans KR" w:eastAsia="Noto Sans KR" w:cs="Noto Sans KR"/>
          <w:b w:val="0"/>
          <w:i w:val="0"/>
          <w:color w:val="222222"/>
          <w:sz w:val="21"/>
        </w:rPr>
        <w:t>시각 동등성: 주요 화면의 스크린샷 차이 기준과 허용 오차 합의</w:t>
      </w:r>
    </w:p>
    <w:p>
      <w:pPr>
        <w:pStyle w:val="ListParagraph"/>
        <w:spacing w:before="0" w:after="60" w:line="324" w:lineRule="auto"/>
        <w:numPr>
          <w:ilvl w:val="0"/>
          <w:numId w:val="9"/>
        </w:numPr>
      </w:pPr>
      <w:r>
        <w:rPr>
          <w:rFonts w:ascii="Noto Sans KR" w:hAnsi="Noto Sans KR" w:eastAsia="Noto Sans KR" w:cs="Noto Sans KR"/>
          <w:b w:val="0"/>
          <w:i w:val="0"/>
          <w:color w:val="222222"/>
          <w:sz w:val="21"/>
        </w:rPr>
        <w:t>API 계약: 경로·메서드·스키마·오류·인증에 대한 자동 계약 테스트</w:t>
      </w:r>
    </w:p>
    <w:p>
      <w:pPr>
        <w:pStyle w:val="ListParagraph"/>
        <w:spacing w:before="0" w:after="60" w:line="324" w:lineRule="auto"/>
        <w:numPr>
          <w:ilvl w:val="0"/>
          <w:numId w:val="9"/>
        </w:numPr>
      </w:pPr>
      <w:r>
        <w:rPr>
          <w:rFonts w:ascii="Noto Sans KR" w:hAnsi="Noto Sans KR" w:eastAsia="Noto Sans KR" w:cs="Noto Sans KR"/>
          <w:b w:val="0"/>
          <w:i w:val="0"/>
          <w:color w:val="222222"/>
          <w:sz w:val="21"/>
        </w:rPr>
        <w:t>백엔드 성능: 부하·처리량·지연·DB 사용량을 동일 환경에서 비교</w:t>
      </w:r>
    </w:p>
    <w:p>
      <w:pPr>
        <w:pStyle w:val="ListParagraph"/>
        <w:spacing w:before="0" w:after="60" w:line="324" w:lineRule="auto"/>
        <w:numPr>
          <w:ilvl w:val="0"/>
          <w:numId w:val="9"/>
        </w:numPr>
      </w:pPr>
      <w:r>
        <w:rPr>
          <w:rFonts w:ascii="Noto Sans KR" w:hAnsi="Noto Sans KR" w:eastAsia="Noto Sans KR" w:cs="Noto Sans KR"/>
          <w:b w:val="0"/>
          <w:i w:val="0"/>
          <w:color w:val="222222"/>
          <w:sz w:val="21"/>
        </w:rPr>
        <w:t>프론트 성능: 핵심 사용자 여정별 Core Web Vitals 및 자원 사용 비교</w:t>
      </w:r>
    </w:p>
    <w:p>
      <w:pPr>
        <w:pStyle w:val="ListParagraph"/>
        <w:spacing w:before="0" w:after="60" w:line="324" w:lineRule="auto"/>
        <w:numPr>
          <w:ilvl w:val="0"/>
          <w:numId w:val="9"/>
        </w:numPr>
      </w:pPr>
      <w:r>
        <w:rPr>
          <w:rFonts w:ascii="Noto Sans KR" w:hAnsi="Noto Sans KR" w:eastAsia="Noto Sans KR" w:cs="Noto Sans KR"/>
          <w:b w:val="0"/>
          <w:i w:val="0"/>
          <w:color w:val="222222"/>
          <w:sz w:val="21"/>
        </w:rPr>
        <w:t>운영성: 모니터링, 장애 대응, 롤백, 보안 및 유지보수 문서 인수</w:t>
      </w:r>
    </w:p>
    <w:p>
      <w:r>
        <w:br w:type="page"/>
      </w:r>
    </w:p>
    <w:p>
      <w:pPr>
        <w:pStyle w:val="Heading1"/>
        <w:keepNext/>
        <w:spacing w:before="200" w:after="100" w:line="264" w:lineRule="auto"/>
      </w:pPr>
      <w:r>
        <w:rPr>
          <w:rFonts w:ascii="Noto Sans KR" w:hAnsi="Noto Sans KR" w:eastAsia="Noto Sans KR" w:cs="Noto Sans KR"/>
          <w:b/>
          <w:i w:val="0"/>
          <w:color w:val="17365D"/>
          <w:sz w:val="40"/>
        </w:rPr>
        <w:t>6. 공식 요청사항</w:t>
      </w:r>
    </w:p>
    <w:p>
      <w:pPr>
        <w:spacing w:before="0" w:after="120" w:line="324" w:lineRule="auto"/>
      </w:pPr>
      <w:r>
        <w:rPr>
          <w:rFonts w:ascii="Noto Sans KR" w:hAnsi="Noto Sans KR" w:eastAsia="Noto Sans KR" w:cs="Noto Sans KR"/>
          <w:b w:val="0"/>
          <w:i w:val="0"/>
          <w:color w:val="222222"/>
          <w:sz w:val="21"/>
        </w:rPr>
        <w:t>본 이의제기에 따라 다음 조치를 요청한다.</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438"/>
        <w:gridCol w:w="6633"/>
      </w:tblGrid>
      <w:tr>
        <w:trPr>
          <w:tblHeader w:val="true"/>
        </w:trPr>
        <w:tc>
          <w:tcPr>
            <w:tcW w:type="dxa" w:w="2438"/>
            <w:shd w:fill="D9E2F3"/>
            <w:tcMar>
              <w:top w:w="120" w:type="dxa"/>
              <w:start w:w="120" w:type="dxa"/>
              <w:bottom w:w="120" w:type="dxa"/>
              <w:end w:w="120" w:type="dxa"/>
            </w:tcMar>
            <w:vAlign w:val="center"/>
          </w:tcPr>
          <w:p>
            <w:pPr>
              <w:spacing w:before="0" w:after="0" w:line="276" w:lineRule="auto"/>
              <w:jc w:val="center"/>
            </w:pPr>
            <w:r>
              <w:rPr>
                <w:rFonts w:ascii="Noto Sans KR" w:hAnsi="Noto Sans KR" w:eastAsia="Noto Sans KR" w:cs="Noto Sans KR"/>
                <w:b/>
                <w:i w:val="0"/>
                <w:color w:val="17365D"/>
                <w:sz w:val="19"/>
              </w:rPr>
              <w:t>요청</w:t>
            </w:r>
          </w:p>
        </w:tc>
        <w:tc>
          <w:tcPr>
            <w:tcW w:type="dxa" w:w="6633"/>
            <w:shd w:fill="D9E2F3"/>
            <w:tcMar>
              <w:top w:w="120" w:type="dxa"/>
              <w:start w:w="120" w:type="dxa"/>
              <w:bottom w:w="120" w:type="dxa"/>
              <w:end w:w="120" w:type="dxa"/>
            </w:tcMar>
            <w:vAlign w:val="center"/>
          </w:tcPr>
          <w:p>
            <w:pPr>
              <w:spacing w:before="0" w:after="0" w:line="276" w:lineRule="auto"/>
              <w:jc w:val="center"/>
            </w:pPr>
            <w:r>
              <w:rPr>
                <w:rFonts w:ascii="Noto Sans KR" w:hAnsi="Noto Sans KR" w:eastAsia="Noto Sans KR" w:cs="Noto Sans KR"/>
                <w:b/>
                <w:i w:val="0"/>
                <w:color w:val="17365D"/>
                <w:sz w:val="19"/>
              </w:rPr>
              <w:t>세부 내용</w:t>
            </w:r>
          </w:p>
        </w:tc>
      </w:tr>
      <w:tr>
        <w:tc>
          <w:tcPr>
            <w:tcW w:type="dxa" w:w="243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요구사항 기준선 제시</w:t>
            </w:r>
          </w:p>
        </w:tc>
        <w:tc>
          <w:tcPr>
            <w:tcW w:type="dxa" w:w="6633"/>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프론트·백엔드 리뉴얼 및 성능개선 범위를 확인할 수 있는 계약·요구사항 문서를 제시한다.</w:t>
            </w:r>
          </w:p>
        </w:tc>
      </w:tr>
      <w:tr>
        <w:tc>
          <w:tcPr>
            <w:tcW w:type="dxa" w:w="243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전략 변경 승인 확인</w:t>
            </w:r>
          </w:p>
        </w:tc>
        <w:tc>
          <w:tcPr>
            <w:tcW w:type="dxa" w:w="6633"/>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2026-04-25 프론트 신규 개발 중단의 요청자, 승인자, 승인 조건과 영향을 문서로 확인한다.</w:t>
            </w:r>
          </w:p>
        </w:tc>
      </w:tr>
      <w:tr>
        <w:tc>
          <w:tcPr>
            <w:tcW w:type="dxa" w:w="243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보고서 문구 정정</w:t>
            </w:r>
          </w:p>
        </w:tc>
        <w:tc>
          <w:tcPr>
            <w:tcW w:type="dxa" w:w="6633"/>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UI/UX 동일성 요구와 프론트 코드 보존 결정을 인과적으로 동일시하지 않고, 별도 의사결정임을 명시한다.</w:t>
            </w:r>
          </w:p>
        </w:tc>
      </w:tr>
      <w:tr>
        <w:tc>
          <w:tcPr>
            <w:tcW w:type="dxa" w:w="243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성능 범위 분리</w:t>
            </w:r>
          </w:p>
        </w:tc>
        <w:tc>
          <w:tcPr>
            <w:tcW w:type="dxa" w:w="6633"/>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백엔드·DB·CDN 개선과 브라우저 종단간 성능을 구분하여 성과를 기재한다.</w:t>
            </w:r>
          </w:p>
        </w:tc>
      </w:tr>
      <w:tr>
        <w:tc>
          <w:tcPr>
            <w:tcW w:type="dxa" w:w="243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프론트엔드 검증 보완</w:t>
            </w:r>
          </w:p>
        </w:tc>
        <w:tc>
          <w:tcPr>
            <w:tcW w:type="dxa" w:w="6633"/>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프론트 코드를 유지했다면 기술부채·의존성·보안·번들·렌더링 성능을 진단하고 결과를 첨부한다.</w:t>
            </w:r>
          </w:p>
        </w:tc>
      </w:tr>
      <w:tr>
        <w:tc>
          <w:tcPr>
            <w:tcW w:type="dxa" w:w="243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인수 기준 재확인</w:t>
            </w:r>
          </w:p>
        </w:tc>
        <w:tc>
          <w:tcPr>
            <w:tcW w:type="dxa" w:w="6633"/>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범위 변경이 승인된 경우 수정된 산출물과 검수 기준을 양측이 재확인한다.</w:t>
            </w:r>
          </w:p>
        </w:tc>
      </w:tr>
    </w:tbl>
    <w:p>
      <w:pPr>
        <w:spacing w:after="20"/>
      </w:pPr>
    </w:p>
    <w:p>
      <w:pPr>
        <w:pStyle w:val="Heading2"/>
        <w:keepNext/>
        <w:spacing w:before="180" w:after="100" w:line="264" w:lineRule="auto"/>
      </w:pPr>
      <w:r>
        <w:rPr>
          <w:rFonts w:ascii="Noto Sans KR" w:hAnsi="Noto Sans KR" w:eastAsia="Noto Sans KR" w:cs="Noto Sans KR"/>
          <w:b/>
          <w:i w:val="0"/>
          <w:color w:val="17365D"/>
          <w:sz w:val="30"/>
        </w:rPr>
        <w:t>6.1 요청하는 정정 문안</w:t>
      </w:r>
    </w:p>
    <w:tbl>
      <w:tblPr>
        <w:tblW w:type="auto" w:w="0"/>
        <w:jc w:val="center"/>
        <w:tblLayout w:type="fixed"/>
        <w:tblLook w:firstColumn="1" w:firstRow="1" w:lastColumn="0" w:lastRow="0" w:noHBand="0" w:noVBand="1" w:val="04A0"/>
        <w:tblBorders>
          <w:top w:val="single" w:sz="8" w:space="0" w:color="17365D"/>
          <w:left w:val="single" w:sz="8" w:space="0" w:color="17365D"/>
          <w:bottom w:val="single" w:sz="8" w:space="0" w:color="17365D"/>
          <w:right w:val="single" w:sz="8" w:space="0" w:color="17365D"/>
          <w:insideH w:val="single" w:sz="8" w:space="0" w:color="17365D"/>
          <w:insideV w:val="single" w:sz="8" w:space="0" w:color="17365D"/>
        </w:tblBorders>
      </w:tblPr>
      <w:tblGrid>
        <w:gridCol w:w="9071"/>
      </w:tblGrid>
      <w:tr>
        <w:tc>
          <w:tcPr>
            <w:tcW w:type="dxa" w:w="9071"/>
            <w:shd w:fill="EAF0F8"/>
            <w:tcMar>
              <w:top w:w="160" w:type="dxa"/>
              <w:start w:w="180" w:type="dxa"/>
              <w:bottom w:w="150" w:type="dxa"/>
              <w:end w:w="180" w:type="dxa"/>
            </w:tcMar>
          </w:tcPr>
          <w:p>
            <w:pPr>
              <w:spacing w:before="0" w:after="80" w:line="324" w:lineRule="auto"/>
            </w:pPr>
            <w:r>
              <w:rPr>
                <w:rFonts w:ascii="Noto Sans KR" w:hAnsi="Noto Sans KR" w:eastAsia="Noto Sans KR" w:cs="Noto Sans KR"/>
                <w:b/>
                <w:i w:val="0"/>
                <w:color w:val="17365D"/>
                <w:sz w:val="22"/>
              </w:rPr>
              <w:t>권장 문안</w:t>
            </w:r>
          </w:p>
          <w:p>
            <w:pPr>
              <w:spacing w:before="0" w:after="0" w:line="324" w:lineRule="auto"/>
            </w:pPr>
            <w:r>
              <w:rPr>
                <w:rFonts w:ascii="Noto Sans KR" w:hAnsi="Noto Sans KR" w:eastAsia="Noto Sans KR" w:cs="Noto Sans KR"/>
                <w:b w:val="0"/>
                <w:i w:val="0"/>
                <w:color w:val="222222"/>
                <w:sz w:val="21"/>
              </w:rPr>
              <w:t>“UI/UX 동일성은 사용자에게 보이는 화면과 업무 흐름의 동등성을 의미한다. 프론트엔드 기존 코드 보존은 이 요구의 자동적 귀결이 아니라, 전환 위험·일정·비용·기술 검증 결과를 고려해 별도로 채택한 구현 전략이다. 해당 전략의 적용 범위와 인수기준은 2026년 4월 25일 의사결정 자료 및 관련 승인 기록에 따른다.”</w:t>
            </w:r>
          </w:p>
        </w:tc>
      </w:tr>
    </w:tbl>
    <w:p>
      <w:pPr>
        <w:spacing w:after="20"/>
      </w:pPr>
    </w:p>
    <w:p>
      <w:pPr>
        <w:pStyle w:val="Heading2"/>
        <w:keepNext/>
        <w:spacing w:before="180" w:after="100" w:line="264" w:lineRule="auto"/>
      </w:pPr>
      <w:r>
        <w:rPr>
          <w:rFonts w:ascii="Noto Sans KR" w:hAnsi="Noto Sans KR" w:eastAsia="Noto Sans KR" w:cs="Noto Sans KR"/>
          <w:b/>
          <w:i w:val="0"/>
          <w:color w:val="17365D"/>
          <w:sz w:val="30"/>
        </w:rPr>
        <w:t>6.2 최종 의견</w:t>
      </w:r>
    </w:p>
    <w:p>
      <w:pPr>
        <w:spacing w:before="0" w:after="120" w:line="324" w:lineRule="auto"/>
      </w:pPr>
      <w:r>
        <w:rPr>
          <w:rFonts w:ascii="Noto Sans KR" w:hAnsi="Noto Sans KR" w:eastAsia="Noto Sans KR" w:cs="Noto Sans KR"/>
          <w:b w:val="0"/>
          <w:i w:val="0"/>
          <w:color w:val="222222"/>
          <w:sz w:val="21"/>
        </w:rPr>
        <w:t>DRF 기반 V1 백엔드를 Django Ninja 기반 V2로 교체하고 기존 API 계약을 재현한 것은 분명한 백엔드 리뉴얼이다. 그러나 그것만으로 프론트엔드 V2 리뉴얼 요구가 충족되었다고 볼 수는 없다. UI/UX 동일성은 프론트 코드 개선과 양립 가능하며, 프론트 코드를 일절 수정하지 않는 조건은 별도의 명시적 요구 또는 승인된 범위 변경이 있어야 성립한다.</w:t>
      </w:r>
    </w:p>
    <w:p>
      <w:pPr>
        <w:spacing w:before="0" w:after="120" w:line="324" w:lineRule="auto"/>
      </w:pPr>
      <w:r>
        <w:rPr>
          <w:rFonts w:ascii="Noto Sans KR" w:hAnsi="Noto Sans KR" w:eastAsia="Noto Sans KR" w:cs="Noto Sans KR"/>
          <w:b/>
          <w:i w:val="0"/>
          <w:color w:val="222222"/>
          <w:sz w:val="21"/>
        </w:rPr>
        <w:t>따라서 본 건의 적정성 판단은 ‘기술적으로 기존 프론트를 재사용할 수 있었는가’가 아니라, ‘당초 범위와 변경 절차에 따라 그 선택이 승인되었는가, 그리고 성능개선 성과가 합의된 검수 범위로 입증되었는가’를 기준으로 이루어져야 한다.</w:t>
      </w:r>
    </w:p>
    <w:p>
      <w:r>
        <w:br w:type="page"/>
      </w:r>
    </w:p>
    <w:p>
      <w:pPr>
        <w:pStyle w:val="Heading1"/>
        <w:keepNext/>
        <w:spacing w:before="200" w:after="100" w:line="264" w:lineRule="auto"/>
      </w:pPr>
      <w:r>
        <w:rPr>
          <w:rFonts w:ascii="Noto Sans KR" w:hAnsi="Noto Sans KR" w:eastAsia="Noto Sans KR" w:cs="Noto Sans KR"/>
          <w:b/>
          <w:i w:val="0"/>
          <w:color w:val="17365D"/>
          <w:sz w:val="40"/>
        </w:rPr>
        <w:t>부록 A. 참조 근거 매핑</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268"/>
        <w:gridCol w:w="2438"/>
        <w:gridCol w:w="4365"/>
      </w:tblGrid>
      <w:tr>
        <w:trPr>
          <w:tblHeader w:val="true"/>
        </w:trPr>
        <w:tc>
          <w:tcPr>
            <w:tcW w:type="dxa" w:w="2268"/>
            <w:shd w:fill="D9E2F3"/>
            <w:tcMar>
              <w:top w:w="120" w:type="dxa"/>
              <w:start w:w="120" w:type="dxa"/>
              <w:bottom w:w="120" w:type="dxa"/>
              <w:end w:w="120" w:type="dxa"/>
            </w:tcMar>
            <w:vAlign w:val="center"/>
          </w:tcPr>
          <w:p>
            <w:pPr>
              <w:spacing w:before="0" w:after="0" w:line="276" w:lineRule="auto"/>
              <w:jc w:val="center"/>
            </w:pPr>
            <w:r>
              <w:rPr>
                <w:rFonts w:ascii="Noto Sans KR" w:hAnsi="Noto Sans KR" w:eastAsia="Noto Sans KR" w:cs="Noto Sans KR"/>
                <w:b/>
                <w:i w:val="0"/>
                <w:color w:val="17365D"/>
                <w:sz w:val="19"/>
              </w:rPr>
              <w:t>본 의견서 논점</w:t>
            </w:r>
          </w:p>
        </w:tc>
        <w:tc>
          <w:tcPr>
            <w:tcW w:type="dxa" w:w="2438"/>
            <w:shd w:fill="D9E2F3"/>
            <w:tcMar>
              <w:top w:w="120" w:type="dxa"/>
              <w:start w:w="120" w:type="dxa"/>
              <w:bottom w:w="120" w:type="dxa"/>
              <w:end w:w="120" w:type="dxa"/>
            </w:tcMar>
            <w:vAlign w:val="center"/>
          </w:tcPr>
          <w:p>
            <w:pPr>
              <w:spacing w:before="0" w:after="0" w:line="276" w:lineRule="auto"/>
              <w:jc w:val="center"/>
            </w:pPr>
            <w:r>
              <w:rPr>
                <w:rFonts w:ascii="Noto Sans KR" w:hAnsi="Noto Sans KR" w:eastAsia="Noto Sans KR" w:cs="Noto Sans KR"/>
                <w:b/>
                <w:i w:val="0"/>
                <w:color w:val="17365D"/>
                <w:sz w:val="19"/>
              </w:rPr>
              <w:t>종료보고서 참조 위치</w:t>
            </w:r>
          </w:p>
        </w:tc>
        <w:tc>
          <w:tcPr>
            <w:tcW w:type="dxa" w:w="4365"/>
            <w:shd w:fill="D9E2F3"/>
            <w:tcMar>
              <w:top w:w="120" w:type="dxa"/>
              <w:start w:w="120" w:type="dxa"/>
              <w:bottom w:w="120" w:type="dxa"/>
              <w:end w:w="120" w:type="dxa"/>
            </w:tcMar>
            <w:vAlign w:val="center"/>
          </w:tcPr>
          <w:p>
            <w:pPr>
              <w:spacing w:before="0" w:after="0" w:line="276" w:lineRule="auto"/>
              <w:jc w:val="center"/>
            </w:pPr>
            <w:r>
              <w:rPr>
                <w:rFonts w:ascii="Noto Sans KR" w:hAnsi="Noto Sans KR" w:eastAsia="Noto Sans KR" w:cs="Noto Sans KR"/>
                <w:b/>
                <w:i w:val="0"/>
                <w:color w:val="17365D"/>
                <w:sz w:val="19"/>
              </w:rPr>
              <w:t>참조 내용 요약</w:t>
            </w:r>
          </w:p>
        </w:tc>
      </w:tr>
      <w:tr>
        <w:tc>
          <w:tcPr>
            <w:tcW w:type="dxa" w:w="226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프로젝트 범위</w:t>
            </w:r>
          </w:p>
        </w:tc>
        <w:tc>
          <w:tcPr>
            <w:tcW w:type="dxa" w:w="243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2.2 범위 및 원칙</w:t>
            </w:r>
          </w:p>
        </w:tc>
        <w:tc>
          <w:tcPr>
            <w:tcW w:type="dxa" w:w="4365"/>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백엔드 전면 재작성과 데이터 이관</w:t>
            </w:r>
          </w:p>
        </w:tc>
      </w:tr>
      <w:tr>
        <w:tc>
          <w:tcPr>
            <w:tcW w:type="dxa" w:w="226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UI/UX 기준</w:t>
            </w:r>
          </w:p>
        </w:tc>
        <w:tc>
          <w:tcPr>
            <w:tcW w:type="dxa" w:w="243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2.2 범위 및 원칙</w:t>
            </w:r>
          </w:p>
        </w:tc>
        <w:tc>
          <w:tcPr>
            <w:tcW w:type="dxa" w:w="4365"/>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사용자가 체감하는 화면·동작 동일</w:t>
            </w:r>
          </w:p>
        </w:tc>
      </w:tr>
      <w:tr>
        <w:tc>
          <w:tcPr>
            <w:tcW w:type="dxa" w:w="226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초기 계획</w:t>
            </w:r>
          </w:p>
        </w:tc>
        <w:tc>
          <w:tcPr>
            <w:tcW w:type="dxa" w:w="243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3.1 추진 전략</w:t>
            </w:r>
          </w:p>
        </w:tc>
        <w:tc>
          <w:tcPr>
            <w:tcW w:type="dxa" w:w="4365"/>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프론트·백엔드 모두 신규 기술로 재작성</w:t>
            </w:r>
          </w:p>
        </w:tc>
      </w:tr>
      <w:tr>
        <w:tc>
          <w:tcPr>
            <w:tcW w:type="dxa" w:w="226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전략 변경</w:t>
            </w:r>
          </w:p>
        </w:tc>
        <w:tc>
          <w:tcPr>
            <w:tcW w:type="dxa" w:w="243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3.1 및 3.2</w:t>
            </w:r>
          </w:p>
        </w:tc>
        <w:tc>
          <w:tcPr>
            <w:tcW w:type="dxa" w:w="4365"/>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2026-04-25 프론트 신규 개발 중단</w:t>
            </w:r>
          </w:p>
        </w:tc>
      </w:tr>
      <w:tr>
        <w:tc>
          <w:tcPr>
            <w:tcW w:type="dxa" w:w="226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백엔드 기술 전환</w:t>
            </w:r>
          </w:p>
        </w:tc>
        <w:tc>
          <w:tcPr>
            <w:tcW w:type="dxa" w:w="243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2.4 기술 스택 변화</w:t>
            </w:r>
          </w:p>
        </w:tc>
        <w:tc>
          <w:tcPr>
            <w:tcW w:type="dxa" w:w="4365"/>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Django+DRF → Django+Django Ninja</w:t>
            </w:r>
          </w:p>
        </w:tc>
      </w:tr>
      <w:tr>
        <w:tc>
          <w:tcPr>
            <w:tcW w:type="dxa" w:w="226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프론트 중단 규모</w:t>
            </w:r>
          </w:p>
        </w:tc>
        <w:tc>
          <w:tcPr>
            <w:tcW w:type="dxa" w:w="243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3.1 및 4.4</w:t>
            </w:r>
          </w:p>
        </w:tc>
        <w:tc>
          <w:tcPr>
            <w:tcW w:type="dxa" w:w="4365"/>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신규 프론트 약 14.7만 라인 구현 후 중단</w:t>
            </w:r>
          </w:p>
        </w:tc>
      </w:tr>
      <w:tr>
        <w:tc>
          <w:tcPr>
            <w:tcW w:type="dxa" w:w="226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성능 수치</w:t>
            </w:r>
          </w:p>
        </w:tc>
        <w:tc>
          <w:tcPr>
            <w:tcW w:type="dxa" w:w="243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5.1 성능 개선</w:t>
            </w:r>
          </w:p>
        </w:tc>
        <w:tc>
          <w:tcPr>
            <w:tcW w:type="dxa" w:w="4365"/>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진단 생성·목록·웹공시 중심의 실측</w:t>
            </w:r>
          </w:p>
        </w:tc>
      </w:tr>
      <w:tr>
        <w:tc>
          <w:tcPr>
            <w:tcW w:type="dxa" w:w="226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i w:val="0"/>
                <w:color w:val="222222"/>
                <w:sz w:val="18"/>
              </w:rPr>
              <w:t>검증 결과</w:t>
            </w:r>
          </w:p>
        </w:tc>
        <w:tc>
          <w:tcPr>
            <w:tcW w:type="dxa" w:w="2438"/>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6장 품질 및 검증</w:t>
            </w:r>
          </w:p>
        </w:tc>
        <w:tc>
          <w:tcPr>
            <w:tcW w:type="dxa" w:w="4365"/>
            <w:tcMar>
              <w:top w:w="105" w:type="dxa"/>
              <w:start w:w="120" w:type="dxa"/>
              <w:bottom w:w="105" w:type="dxa"/>
              <w:end w:w="120" w:type="dxa"/>
            </w:tcMar>
            <w:vAlign w:val="center"/>
          </w:tcPr>
          <w:p>
            <w:pPr>
              <w:spacing w:before="0" w:after="0" w:line="283" w:lineRule="auto"/>
            </w:pPr>
            <w:r>
              <w:rPr>
                <w:rFonts w:ascii="Noto Sans KR" w:hAnsi="Noto Sans KR" w:eastAsia="Noto Sans KR" w:cs="Noto Sans KR"/>
                <w:b w:val="0"/>
                <w:i w:val="0"/>
                <w:color w:val="222222"/>
                <w:sz w:val="18"/>
              </w:rPr>
              <w:t>API·화면·보안 시나리오 검증</w:t>
            </w:r>
          </w:p>
        </w:tc>
      </w:tr>
    </w:tbl>
    <w:p>
      <w:pPr>
        <w:spacing w:after="20"/>
      </w:pPr>
    </w:p>
    <w:p>
      <w:pPr>
        <w:pStyle w:val="Heading1"/>
        <w:keepNext/>
        <w:spacing w:before="200" w:after="100" w:line="264" w:lineRule="auto"/>
      </w:pPr>
      <w:r>
        <w:rPr>
          <w:rFonts w:ascii="Noto Sans KR" w:hAnsi="Noto Sans KR" w:eastAsia="Noto Sans KR" w:cs="Noto Sans KR"/>
          <w:b/>
          <w:i w:val="0"/>
          <w:color w:val="17365D"/>
          <w:sz w:val="40"/>
        </w:rPr>
        <w:t>부록 B. 유의사항</w:t>
      </w:r>
    </w:p>
    <w:p>
      <w:pPr>
        <w:pStyle w:val="ListParagraph"/>
        <w:spacing w:before="0" w:after="60" w:line="324" w:lineRule="auto"/>
        <w:numPr>
          <w:ilvl w:val="0"/>
          <w:numId w:val="6"/>
        </w:numPr>
      </w:pPr>
      <w:r>
        <w:rPr>
          <w:rFonts w:ascii="Noto Sans KR" w:hAnsi="Noto Sans KR" w:eastAsia="Noto Sans KR" w:cs="Noto Sans KR"/>
          <w:b w:val="0"/>
          <w:i w:val="0"/>
          <w:color w:val="222222"/>
          <w:sz w:val="21"/>
        </w:rPr>
        <w:t>본 의견서는 제공된 종료보고서 초안만을 근거로 하며, 계약 위반이나 법적 책임을 단정하지 않는다.</w:t>
      </w:r>
    </w:p>
    <w:p>
      <w:pPr>
        <w:pStyle w:val="ListParagraph"/>
        <w:spacing w:before="0" w:after="60" w:line="324" w:lineRule="auto"/>
        <w:numPr>
          <w:ilvl w:val="0"/>
          <w:numId w:val="6"/>
        </w:numPr>
      </w:pPr>
      <w:r>
        <w:rPr>
          <w:rFonts w:ascii="Noto Sans KR" w:hAnsi="Noto Sans KR" w:eastAsia="Noto Sans KR" w:cs="Noto Sans KR"/>
          <w:b w:val="0"/>
          <w:i w:val="0"/>
          <w:color w:val="222222"/>
          <w:sz w:val="21"/>
        </w:rPr>
        <w:t>최종 판단 전 계약서, 과업지시서, 제안서, 회의록, 변경승인서 및 검수기준을 함께 대조해야 한다.</w:t>
      </w:r>
    </w:p>
    <w:p>
      <w:pPr>
        <w:pStyle w:val="ListParagraph"/>
        <w:spacing w:before="0" w:after="60" w:line="324" w:lineRule="auto"/>
        <w:numPr>
          <w:ilvl w:val="0"/>
          <w:numId w:val="6"/>
        </w:numPr>
      </w:pPr>
      <w:r>
        <w:rPr>
          <w:rFonts w:ascii="Noto Sans KR" w:hAnsi="Noto Sans KR" w:eastAsia="Noto Sans KR" w:cs="Noto Sans KR"/>
          <w:b w:val="0"/>
          <w:i w:val="0"/>
          <w:color w:val="222222"/>
          <w:sz w:val="21"/>
        </w:rPr>
        <w:t>문서 내 미기입된 작성자·수신자·배포 구분은 제출 전에 확정해야 한다.</w:t>
      </w:r>
    </w:p>
    <w:sectPr>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after="0" w:line="240" w:lineRule="auto"/>
      <w:jc w:val="left"/>
    </w:pPr>
    <w:r>
      <w:rPr>
        <w:rFonts w:ascii="Noto Sans KR" w:hAnsi="Noto Sans KR" w:eastAsia="Noto Sans KR" w:cs="Noto Sans KR"/>
        <w:b w:val="0"/>
        <w:i w:val="0"/>
        <w:color w:val="666666"/>
        <w:sz w:val="17"/>
      </w:rPr>
      <w:t>EDK 리뉴얼 프로젝트 이의제기 및 검토의견서</w:t>
    </w:r>
    <w:r>
      <w:rPr>
        <w:rFonts w:ascii="Noto Sans KR" w:hAnsi="Noto Sans KR" w:eastAsia="Noto Sans KR" w:cs="Noto Sans KR"/>
        <w:b w:val="0"/>
        <w:i w:val="0"/>
        <w:color w:val="999999"/>
        <w:sz w:val="17"/>
      </w:rPr>
      <w:t xml:space="preserve">          |  </w:t>
    </w:r>
    <w:r>
      <w:rPr>
        <w:rFonts w:ascii="Noto Sans KR" w:hAnsi="Noto Sans KR" w:eastAsia="Noto Sans KR" w:cs="Noto Sans KR"/>
        <w:b w:val="0"/>
        <w:i w:val="0"/>
        <w:color w:val="666666"/>
        <w:sz w:val="17"/>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abstractNum w:abstractNumId="4">
    <w:multiLevelType w:val="multilevel"/>
    <w:lvl w:ilvl="0">
      <w:start w:val="1"/>
      <w:numFmt w:val="bullet"/>
      <w:lvlText w:val="•"/>
      <w:suff w:val="tab"/>
      <w:pPr>
        <w:tabs>
          <w:tab w:val="num" w:pos="720"/>
        </w:tabs>
        <w:ind w:left="720" w:hanging="360"/>
      </w:pPr>
      <w:rPr>
        <w:rFonts w:ascii="Arial" w:hAnsi="Arial"/>
      </w:rPr>
    </w:lvl>
    <w:lvl w:ilvl="1">
      <w:start w:val="1"/>
      <w:numFmt w:val="bullet"/>
      <w:lvlText w:val="◦"/>
      <w:suff w:val="tab"/>
      <w:pPr>
        <w:tabs>
          <w:tab w:val="num" w:pos="1080"/>
        </w:tabs>
        <w:ind w:left="1080" w:hanging="360"/>
      </w:pPr>
      <w:rPr>
        <w:rFonts w:ascii="Arial" w:hAnsi="Arial"/>
      </w:rPr>
    </w:lvl>
  </w:abstractNum>
  <w:num w:numId="6">
    <w:abstractNumId w:val="4"/>
  </w:num>
  <w:abstractNum w:abstractNumId="5">
    <w:multiLevelType w:val="multilevel"/>
    <w:lvl w:ilvl="0">
      <w:start w:val="1"/>
      <w:numFmt w:val="decimal"/>
      <w:lvlText w:val="%1."/>
      <w:suff w:val="tab"/>
      <w:pPr>
        <w:tabs>
          <w:tab w:val="num" w:pos="720"/>
        </w:tabs>
        <w:ind w:left="720" w:hanging="360"/>
      </w:pPr>
    </w:lvl>
    <w:lvl w:ilvl="1">
      <w:start w:val="1"/>
      <w:numFmt w:val="decimal"/>
      <w:lvlText w:val="◦"/>
      <w:suff w:val="tab"/>
      <w:pPr>
        <w:tabs>
          <w:tab w:val="num" w:pos="1080"/>
        </w:tabs>
        <w:ind w:left="1080" w:hanging="360"/>
      </w:pPr>
    </w:lvl>
  </w:abstractNum>
  <w:num w:numId="7">
    <w:abstractNumId w:val="5"/>
  </w:num>
  <w:num w:numId="8">
    <w:abstractNumId w:val="5"/>
    <w:lvlOverride w:ilvl="0">
      <w:startOverride w:val="1"/>
    </w:lvlOverride>
  </w:num>
  <w:num w:numId="9">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Noto Sans KR" w:hAnsi="Noto Sans KR" w:eastAsia="Noto Sans KR"/>
      <w:color w:val="2E74B5"/>
      <w:sz w:val="32"/>
      <w:szCs w:val="32"/>
    </w:rPr>
  </w:style>
  <w:style w:type="paragraph" w:styleId="Heading2">
    <w:name w:val="Heading 2"/>
    <w:basedOn w:val="Normal"/>
    <w:next w:val="Normal"/>
    <w:qFormat/>
    <w:rPr>
      <w:rFonts w:ascii="Noto Sans KR" w:hAnsi="Noto Sans KR" w:eastAsia="Noto Sans KR"/>
      <w:color w:val="2E74B5"/>
      <w:sz w:val="26"/>
      <w:szCs w:val="26"/>
    </w:rPr>
  </w:style>
  <w:style w:type="paragraph" w:styleId="Heading3">
    <w:name w:val="Heading 3"/>
    <w:basedOn w:val="Normal"/>
    <w:next w:val="Normal"/>
    <w:qFormat/>
    <w:rPr>
      <w:rFonts w:ascii="Noto Sans KR" w:hAnsi="Noto Sans KR" w:eastAsia="Noto Sans K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rPr>
      <w:rFonts w:ascii="Noto Sans KR" w:hAnsi="Noto Sans KR" w:eastAsia="Noto Sans KR"/>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name w:val="Normal"/>
    <w:rPr>
      <w:rFonts w:ascii="Noto Sans KR" w:hAnsi="Noto Sans KR" w:eastAsia="Noto Sans KR"/>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EDK 리뉴얼 프로젝트 이의제기 및 검토의견서</dc:title>
  <dc:creator/>
  <cp:lastModifiedBy>Un-named</cp:lastModifiedBy>
  <cp:revision>1</cp:revision>
  <dcterms:created xsi:type="dcterms:W3CDTF">2026-07-23T04:55:33.333Z</dcterms:created>
  <dcterms:modified xsi:type="dcterms:W3CDTF">2026-07-23T04:55:33.333Z</dcterms:modified>
  <dc:subject>UI/UX 동일성, 프론트엔드 코드 보존 및 성능개선 범위 검토</dc:subject>
  <cp:keywords>EDK, 리뉴얼, 이의제기, DRF, Django Ninja, UI/UX, 성능개선</cp:keywords>
</cp:coreProperties>
</file>

<file path=docProps/custom.xml><?xml version="1.0" encoding="utf-8"?>
<Properties xmlns="http://schemas.openxmlformats.org/officeDocument/2006/custom-properties" xmlns:vt="http://schemas.openxmlformats.org/officeDocument/2006/docPropsVTypes"/>
</file>