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75389">
      <w:pPr>
        <w:spacing w:before="480" w:after="480" w:line="288" w:lineRule="auto"/>
        <w:jc w:val="center"/>
        <w:rPr>
          <w:rFonts w:hint="eastAsia" w:ascii="宋体" w:hAnsi="宋体" w:eastAsia="宋体" w:cs="宋体"/>
          <w:b/>
          <w:sz w:val="52"/>
        </w:rPr>
      </w:pPr>
    </w:p>
    <w:p w14:paraId="3A710582">
      <w:pPr>
        <w:spacing w:before="480" w:after="480" w:line="288" w:lineRule="auto"/>
        <w:jc w:val="center"/>
        <w:rPr>
          <w:rFonts w:hint="eastAsia" w:ascii="宋体" w:hAnsi="宋体" w:eastAsia="宋体" w:cs="宋体"/>
          <w:b/>
          <w:sz w:val="52"/>
        </w:rPr>
      </w:pPr>
    </w:p>
    <w:p w14:paraId="7509C22E">
      <w:pPr>
        <w:spacing w:before="480" w:after="480" w:line="288" w:lineRule="auto"/>
        <w:jc w:val="center"/>
        <w:rPr>
          <w:rFonts w:hint="eastAsia" w:ascii="宋体" w:hAnsi="宋体" w:eastAsia="宋体" w:cs="宋体"/>
          <w:b/>
          <w:sz w:val="52"/>
        </w:rPr>
      </w:pPr>
      <w:r>
        <w:rPr>
          <w:rFonts w:hint="eastAsia" w:ascii="宋体" w:hAnsi="宋体" w:eastAsia="宋体" w:cs="宋体"/>
          <w:b/>
          <w:sz w:val="52"/>
        </w:rPr>
        <w:t>中国电信勒索病毒防护</w:t>
      </w:r>
    </w:p>
    <w:p w14:paraId="060C901D">
      <w:pPr>
        <w:spacing w:before="480" w:after="480" w:line="288" w:lineRule="auto"/>
        <w:jc w:val="center"/>
        <w:rPr>
          <w:rFonts w:hint="eastAsia" w:ascii="宋体" w:hAnsi="宋体" w:eastAsia="宋体" w:cs="宋体"/>
          <w:b/>
          <w:sz w:val="52"/>
        </w:rPr>
      </w:pPr>
      <w:r>
        <w:rPr>
          <w:rFonts w:hint="eastAsia" w:ascii="宋体" w:hAnsi="宋体" w:eastAsia="宋体" w:cs="宋体"/>
          <w:b/>
          <w:sz w:val="52"/>
        </w:rPr>
        <w:t>整体安全解决方案</w:t>
      </w:r>
    </w:p>
    <w:p w14:paraId="028BF18B">
      <w:pPr>
        <w:spacing w:before="480" w:after="480" w:line="288" w:lineRule="auto"/>
        <w:jc w:val="center"/>
        <w:rPr>
          <w:rFonts w:hint="eastAsia" w:ascii="宋体" w:hAnsi="宋体" w:eastAsia="宋体" w:cs="宋体"/>
          <w:b/>
          <w:sz w:val="52"/>
        </w:rPr>
      </w:pPr>
    </w:p>
    <w:p w14:paraId="101B2F5B">
      <w:pPr>
        <w:spacing w:before="480" w:after="480" w:line="288" w:lineRule="auto"/>
        <w:jc w:val="center"/>
        <w:rPr>
          <w:rFonts w:hint="eastAsia" w:ascii="宋体" w:hAnsi="宋体" w:eastAsia="宋体" w:cs="宋体"/>
          <w:b/>
          <w:sz w:val="32"/>
          <w:szCs w:val="15"/>
          <w:lang w:val="en-US" w:eastAsia="zh-CN"/>
        </w:rPr>
      </w:pPr>
      <w:r>
        <w:rPr>
          <w:rFonts w:hint="eastAsia" w:ascii="宋体" w:hAnsi="宋体" w:eastAsia="宋体" w:cs="宋体"/>
          <w:b/>
          <w:sz w:val="32"/>
          <w:szCs w:val="15"/>
        </w:rPr>
        <w:t>中国电信股份有限公司</w:t>
      </w:r>
      <w:r>
        <w:rPr>
          <w:rFonts w:hint="eastAsia" w:ascii="宋体" w:hAnsi="宋体" w:eastAsia="宋体" w:cs="宋体"/>
          <w:b/>
          <w:sz w:val="32"/>
          <w:szCs w:val="15"/>
          <w:lang w:val="en-US" w:eastAsia="zh-CN"/>
        </w:rPr>
        <w:t>xx分公司</w:t>
      </w:r>
    </w:p>
    <w:p w14:paraId="39EE991E">
      <w:pPr>
        <w:spacing w:before="480" w:after="480" w:line="288" w:lineRule="auto"/>
        <w:jc w:val="center"/>
        <w:rPr>
          <w:rFonts w:hint="eastAsia" w:ascii="宋体" w:hAnsi="宋体" w:eastAsia="宋体" w:cs="宋体"/>
          <w:b/>
          <w:sz w:val="32"/>
          <w:szCs w:val="15"/>
        </w:rPr>
      </w:pPr>
      <w:r>
        <w:rPr>
          <w:rFonts w:hint="eastAsia" w:ascii="宋体" w:hAnsi="宋体" w:eastAsia="宋体" w:cs="宋体"/>
          <w:b/>
          <w:sz w:val="32"/>
          <w:szCs w:val="15"/>
        </w:rPr>
        <w:t>2026年5月</w:t>
      </w:r>
    </w:p>
    <w:p w14:paraId="570DFF66">
      <w:pPr>
        <w:spacing w:before="480" w:after="480" w:line="288" w:lineRule="auto"/>
        <w:rPr>
          <w:rFonts w:hint="eastAsia" w:ascii="宋体" w:hAnsi="宋体" w:eastAsia="宋体" w:cs="宋体"/>
          <w:b/>
          <w:sz w:val="52"/>
        </w:rPr>
      </w:pPr>
    </w:p>
    <w:p w14:paraId="68F12F67">
      <w:pPr>
        <w:spacing w:before="480" w:after="480" w:line="288" w:lineRule="auto"/>
        <w:rPr>
          <w:rFonts w:hint="eastAsia" w:ascii="宋体" w:hAnsi="宋体" w:eastAsia="宋体" w:cs="宋体"/>
          <w:b/>
          <w:sz w:val="52"/>
        </w:rPr>
      </w:pPr>
    </w:p>
    <w:p w14:paraId="195BE279">
      <w:pPr>
        <w:spacing w:before="480" w:after="480" w:line="288" w:lineRule="auto"/>
        <w:rPr>
          <w:rFonts w:hint="eastAsia" w:ascii="宋体" w:hAnsi="宋体" w:eastAsia="宋体" w:cs="宋体"/>
          <w:b/>
          <w:sz w:val="52"/>
        </w:rPr>
      </w:pPr>
    </w:p>
    <w:p w14:paraId="6ABB57E4">
      <w:pPr>
        <w:spacing w:before="480" w:after="480" w:line="288" w:lineRule="auto"/>
        <w:rPr>
          <w:rFonts w:hint="eastAsia" w:ascii="宋体" w:hAnsi="宋体" w:eastAsia="宋体" w:cs="宋体"/>
          <w:b/>
          <w:sz w:val="52"/>
        </w:rPr>
      </w:pPr>
    </w:p>
    <w:p w14:paraId="145F6D5C">
      <w:pPr>
        <w:spacing w:before="380" w:after="140" w:line="288" w:lineRule="auto"/>
        <w:jc w:val="left"/>
        <w:outlineLvl w:val="0"/>
        <w:rPr>
          <w:rFonts w:hint="eastAsia" w:ascii="宋体" w:hAnsi="宋体" w:eastAsia="宋体" w:cs="宋体"/>
        </w:rPr>
      </w:pPr>
      <w:bookmarkStart w:id="0" w:name="heading_0"/>
      <w:r>
        <w:rPr>
          <w:rFonts w:hint="eastAsia" w:ascii="宋体" w:hAnsi="宋体" w:eastAsia="宋体" w:cs="宋体"/>
          <w:b/>
          <w:sz w:val="36"/>
        </w:rPr>
        <w:t>一、背景与需求分析</w:t>
      </w:r>
      <w:bookmarkEnd w:id="0"/>
    </w:p>
    <w:p w14:paraId="55FCE762">
      <w:pPr>
        <w:spacing w:before="120" w:after="120" w:line="288" w:lineRule="auto"/>
        <w:ind w:firstLine="500"/>
        <w:jc w:val="left"/>
        <w:rPr>
          <w:rFonts w:hint="eastAsia" w:ascii="宋体" w:hAnsi="宋体" w:eastAsia="宋体" w:cs="宋体"/>
        </w:rPr>
      </w:pPr>
      <w:r>
        <w:rPr>
          <w:rFonts w:hint="eastAsia" w:ascii="宋体" w:hAnsi="宋体" w:eastAsia="宋体" w:cs="宋体"/>
          <w:sz w:val="22"/>
        </w:rPr>
        <w:t>勒索病毒已成为全球各类组织面临的最严峻安全威胁之一。攻击者通过钓鱼邮件、漏洞利用、弱口令爆破、恶意广告等手段突破防线，进入内网后快速横向扩散，对数据库、文件服务器、终端等核心资产实施高强度加密，并索要赎金。攻击变种迭代极快，传统基于特征库的防护手段难以有效应对，一旦中招，将直接导致业务长时间停顿、数据不可恢复，甚至因敏感信息泄露而引发合规风险与声誉损害。</w:t>
      </w:r>
    </w:p>
    <w:p w14:paraId="5A6F3CF2">
      <w:pPr>
        <w:spacing w:before="120" w:after="120" w:line="288" w:lineRule="auto"/>
        <w:jc w:val="left"/>
        <w:rPr>
          <w:rFonts w:hint="eastAsia" w:ascii="宋体" w:hAnsi="宋体" w:eastAsia="宋体" w:cs="宋体"/>
        </w:rPr>
      </w:pPr>
      <w:r>
        <w:rPr>
          <w:rFonts w:hint="eastAsia" w:ascii="宋体" w:hAnsi="宋体" w:eastAsia="宋体" w:cs="宋体"/>
          <w:sz w:val="22"/>
        </w:rPr>
        <w:t>从大量实际案例来看，组织普遍存在以下几类共性短板，成为勒索病毒入侵和扩散的突破口：</w:t>
      </w:r>
    </w:p>
    <w:p w14:paraId="6ACF7A50">
      <w:pPr>
        <w:numPr>
          <w:ilvl w:val="0"/>
          <w:numId w:val="1"/>
        </w:numPr>
        <w:spacing w:before="120" w:after="120" w:line="288" w:lineRule="auto"/>
        <w:jc w:val="left"/>
        <w:rPr>
          <w:rFonts w:hint="eastAsia" w:ascii="宋体" w:hAnsi="宋体" w:eastAsia="宋体" w:cs="宋体"/>
        </w:rPr>
      </w:pPr>
      <w:r>
        <w:rPr>
          <w:rFonts w:hint="eastAsia" w:ascii="宋体" w:hAnsi="宋体" w:eastAsia="宋体" w:cs="宋体"/>
          <w:b/>
          <w:sz w:val="22"/>
        </w:rPr>
        <w:t>业务系统暴露面过大</w:t>
      </w:r>
      <w:r>
        <w:rPr>
          <w:rFonts w:hint="eastAsia" w:ascii="宋体" w:hAnsi="宋体" w:eastAsia="宋体" w:cs="宋体"/>
          <w:sz w:val="22"/>
        </w:rPr>
        <w:t>：大量内部业务系统（如OA、ERP、文件服务器、财务系统等）通过端口映射方式直接暴露于公网，攻击者可针对这些暴露的服务发起漏洞利用、暴力破解等攻击，一旦突破即可直通内网，风险极高。</w:t>
      </w:r>
    </w:p>
    <w:p w14:paraId="14B5DC3D">
      <w:pPr>
        <w:numPr>
          <w:ilvl w:val="0"/>
          <w:numId w:val="2"/>
        </w:numPr>
        <w:spacing w:before="120" w:after="120" w:line="288" w:lineRule="auto"/>
        <w:jc w:val="left"/>
        <w:rPr>
          <w:rFonts w:hint="eastAsia" w:ascii="宋体" w:hAnsi="宋体" w:eastAsia="宋体" w:cs="宋体"/>
        </w:rPr>
      </w:pPr>
      <w:r>
        <w:rPr>
          <w:rFonts w:hint="eastAsia" w:ascii="宋体" w:hAnsi="宋体" w:eastAsia="宋体" w:cs="宋体"/>
          <w:b/>
          <w:sz w:val="22"/>
        </w:rPr>
        <w:t>主机脆弱性突出</w:t>
      </w:r>
      <w:r>
        <w:rPr>
          <w:rFonts w:hint="eastAsia" w:ascii="宋体" w:hAnsi="宋体" w:eastAsia="宋体" w:cs="宋体"/>
          <w:sz w:val="22"/>
        </w:rPr>
        <w:t>：服务器与终端普遍存在未修复漏洞、弱口令、高危端口开放、安全配置不合规等问题，极易被利用作为初始入侵点。</w:t>
      </w:r>
    </w:p>
    <w:p w14:paraId="0465599C">
      <w:pPr>
        <w:numPr>
          <w:ilvl w:val="0"/>
          <w:numId w:val="3"/>
        </w:numPr>
        <w:spacing w:before="120" w:after="120" w:line="288" w:lineRule="auto"/>
        <w:jc w:val="left"/>
        <w:rPr>
          <w:rFonts w:hint="eastAsia" w:ascii="宋体" w:hAnsi="宋体" w:eastAsia="宋体" w:cs="宋体"/>
        </w:rPr>
      </w:pPr>
      <w:r>
        <w:rPr>
          <w:rFonts w:hint="eastAsia" w:ascii="宋体" w:hAnsi="宋体" w:eastAsia="宋体" w:cs="宋体"/>
          <w:b/>
          <w:sz w:val="22"/>
        </w:rPr>
        <w:t>横向移动无管控</w:t>
      </w:r>
      <w:r>
        <w:rPr>
          <w:rFonts w:hint="eastAsia" w:ascii="宋体" w:hAnsi="宋体" w:eastAsia="宋体" w:cs="宋体"/>
          <w:sz w:val="22"/>
        </w:rPr>
        <w:t>：内部网络访问权限粗放，缺乏精细化隔离与微隔离手段，单台主机失陷后，攻击者可轻易横向渗透至核心业务区。</w:t>
      </w:r>
    </w:p>
    <w:p w14:paraId="4A76E808">
      <w:pPr>
        <w:numPr>
          <w:ilvl w:val="0"/>
          <w:numId w:val="4"/>
        </w:numPr>
        <w:spacing w:before="120" w:after="120" w:line="288" w:lineRule="auto"/>
        <w:jc w:val="left"/>
        <w:rPr>
          <w:rFonts w:hint="eastAsia" w:ascii="宋体" w:hAnsi="宋体" w:eastAsia="宋体" w:cs="宋体"/>
        </w:rPr>
      </w:pPr>
      <w:r>
        <w:rPr>
          <w:rFonts w:hint="eastAsia" w:ascii="宋体" w:hAnsi="宋体" w:eastAsia="宋体" w:cs="宋体"/>
          <w:b/>
          <w:sz w:val="22"/>
        </w:rPr>
        <w:t>监测与响应缺位</w:t>
      </w:r>
      <w:r>
        <w:rPr>
          <w:rFonts w:hint="eastAsia" w:ascii="宋体" w:hAnsi="宋体" w:eastAsia="宋体" w:cs="宋体"/>
          <w:sz w:val="22"/>
        </w:rPr>
        <w:t>：缺乏7×24小时持续安全监测和标准化应急响应机制，攻击事件往往在加密完成甚至数据外泄后才被发现，错失阻断和止损窗口。</w:t>
      </w:r>
    </w:p>
    <w:p w14:paraId="52DAB55E">
      <w:pPr>
        <w:spacing w:before="120" w:after="120" w:line="288" w:lineRule="auto"/>
        <w:jc w:val="left"/>
        <w:rPr>
          <w:rFonts w:hint="eastAsia" w:ascii="宋体" w:hAnsi="宋体" w:eastAsia="宋体" w:cs="宋体"/>
        </w:rPr>
      </w:pPr>
      <w:bookmarkStart w:id="11" w:name="_GoBack"/>
      <w:r>
        <w:rPr>
          <w:rFonts w:hint="eastAsia" w:ascii="宋体" w:hAnsi="宋体" w:eastAsia="宋体" w:cs="宋体"/>
          <w:sz w:val="22"/>
        </w:rPr>
        <w:t>为系统性抵御勒索病毒攻击，需构建覆盖</w:t>
      </w:r>
      <w:r>
        <w:rPr>
          <w:rFonts w:hint="eastAsia" w:ascii="宋体" w:hAnsi="宋体" w:eastAsia="宋体" w:cs="宋体"/>
          <w:b/>
          <w:sz w:val="22"/>
        </w:rPr>
        <w:t>“网络边界防御 - 零信任访问控制 - 主机安全加固 - 持续安全运营”</w:t>
      </w:r>
      <w:r>
        <w:rPr>
          <w:rFonts w:hint="eastAsia" w:ascii="宋体" w:hAnsi="宋体" w:eastAsia="宋体" w:cs="宋体"/>
          <w:sz w:val="22"/>
        </w:rPr>
        <w:t>的纵深防护体系，实现从事前预防、事中检测阻断到事后快速响应的安全闭环。</w:t>
      </w:r>
    </w:p>
    <w:bookmarkEnd w:id="11"/>
    <w:p w14:paraId="70B14088">
      <w:pPr>
        <w:spacing w:before="380" w:after="140" w:line="288" w:lineRule="auto"/>
        <w:jc w:val="left"/>
        <w:outlineLvl w:val="0"/>
        <w:rPr>
          <w:rFonts w:hint="eastAsia" w:ascii="宋体" w:hAnsi="宋体" w:eastAsia="宋体" w:cs="宋体"/>
        </w:rPr>
      </w:pPr>
      <w:bookmarkStart w:id="1" w:name="heading_1"/>
      <w:r>
        <w:rPr>
          <w:rFonts w:hint="eastAsia" w:ascii="宋体" w:hAnsi="宋体" w:eastAsia="宋体" w:cs="宋体"/>
          <w:b/>
          <w:sz w:val="36"/>
        </w:rPr>
        <w:t>二、方案架构</w:t>
      </w:r>
      <w:bookmarkEnd w:id="1"/>
    </w:p>
    <w:p w14:paraId="4794A7E7">
      <w:pPr>
        <w:spacing w:before="120" w:after="120" w:line="288" w:lineRule="auto"/>
        <w:ind w:firstLine="500"/>
        <w:jc w:val="left"/>
        <w:rPr>
          <w:rFonts w:hint="eastAsia" w:ascii="宋体" w:hAnsi="宋体" w:eastAsia="宋体" w:cs="宋体"/>
        </w:rPr>
      </w:pPr>
      <w:r>
        <w:rPr>
          <w:rFonts w:hint="eastAsia" w:ascii="宋体" w:hAnsi="宋体" w:eastAsia="宋体" w:cs="宋体"/>
          <w:sz w:val="22"/>
        </w:rPr>
        <w:t>本方案围绕勒索病毒攻击链，通过“边界防御、访问控制、主机安全、安全运营”四道防线形成立体防护，尤其针对业务系统公网暴露、端口映射等高风险场景，通过零信任实现网络隐身与访问收敛，整体架构如下：</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0D1FBDE">
        <w:tc>
          <w:tcPr>
            <w:tcW w:w="2760" w:type="dxa"/>
            <w:tcMar>
              <w:top w:w="60" w:type="dxa"/>
              <w:left w:w="120" w:type="dxa"/>
              <w:bottom w:w="30" w:type="dxa"/>
              <w:right w:w="120" w:type="dxa"/>
            </w:tcMar>
          </w:tcPr>
          <w:p w14:paraId="06576E98">
            <w:pPr>
              <w:spacing w:before="120" w:after="120" w:line="288" w:lineRule="auto"/>
              <w:jc w:val="center"/>
              <w:rPr>
                <w:rFonts w:hint="eastAsia" w:ascii="宋体" w:hAnsi="宋体" w:eastAsia="宋体" w:cs="宋体"/>
                <w:sz w:val="20"/>
                <w:szCs w:val="21"/>
              </w:rPr>
            </w:pPr>
            <w:r>
              <w:rPr>
                <w:rFonts w:hint="eastAsia" w:ascii="宋体" w:hAnsi="宋体" w:eastAsia="宋体" w:cs="宋体"/>
                <w:szCs w:val="21"/>
              </w:rPr>
              <w:t>防护层面</w:t>
            </w:r>
          </w:p>
        </w:tc>
        <w:tc>
          <w:tcPr>
            <w:tcW w:w="2760" w:type="dxa"/>
            <w:tcMar>
              <w:top w:w="60" w:type="dxa"/>
              <w:left w:w="120" w:type="dxa"/>
              <w:bottom w:w="30" w:type="dxa"/>
              <w:right w:w="120" w:type="dxa"/>
            </w:tcMar>
          </w:tcPr>
          <w:p w14:paraId="25C4AFD6">
            <w:pPr>
              <w:spacing w:before="120" w:after="120" w:line="288" w:lineRule="auto"/>
              <w:jc w:val="center"/>
              <w:rPr>
                <w:rFonts w:hint="eastAsia" w:ascii="宋体" w:hAnsi="宋体" w:eastAsia="宋体" w:cs="宋体"/>
                <w:sz w:val="20"/>
                <w:szCs w:val="21"/>
              </w:rPr>
            </w:pPr>
            <w:r>
              <w:rPr>
                <w:rFonts w:hint="eastAsia" w:ascii="宋体" w:hAnsi="宋体" w:eastAsia="宋体" w:cs="宋体"/>
                <w:szCs w:val="21"/>
              </w:rPr>
              <w:t>部署产品</w:t>
            </w:r>
          </w:p>
        </w:tc>
        <w:tc>
          <w:tcPr>
            <w:tcW w:w="2760" w:type="dxa"/>
            <w:tcMar>
              <w:top w:w="60" w:type="dxa"/>
              <w:left w:w="120" w:type="dxa"/>
              <w:bottom w:w="30" w:type="dxa"/>
              <w:right w:w="120" w:type="dxa"/>
            </w:tcMar>
          </w:tcPr>
          <w:p w14:paraId="5FA4D953">
            <w:pPr>
              <w:spacing w:before="120" w:after="120" w:line="288" w:lineRule="auto"/>
              <w:jc w:val="center"/>
              <w:rPr>
                <w:rFonts w:hint="eastAsia" w:ascii="宋体" w:hAnsi="宋体" w:eastAsia="宋体" w:cs="宋体"/>
                <w:sz w:val="20"/>
                <w:szCs w:val="21"/>
              </w:rPr>
            </w:pPr>
            <w:r>
              <w:rPr>
                <w:rFonts w:hint="eastAsia" w:ascii="宋体" w:hAnsi="宋体" w:eastAsia="宋体" w:cs="宋体"/>
                <w:szCs w:val="21"/>
              </w:rPr>
              <w:t>防护目标</w:t>
            </w:r>
          </w:p>
        </w:tc>
      </w:tr>
      <w:tr w14:paraId="69E32A2B">
        <w:tc>
          <w:tcPr>
            <w:tcW w:w="2760" w:type="dxa"/>
            <w:tcMar>
              <w:top w:w="60" w:type="dxa"/>
              <w:left w:w="120" w:type="dxa"/>
              <w:bottom w:w="30" w:type="dxa"/>
              <w:right w:w="120" w:type="dxa"/>
            </w:tcMar>
          </w:tcPr>
          <w:p w14:paraId="7BAE9FE2">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边界防御</w:t>
            </w:r>
          </w:p>
        </w:tc>
        <w:tc>
          <w:tcPr>
            <w:tcW w:w="2760" w:type="dxa"/>
            <w:tcMar>
              <w:top w:w="60" w:type="dxa"/>
              <w:left w:w="120" w:type="dxa"/>
              <w:bottom w:w="30" w:type="dxa"/>
              <w:right w:w="120" w:type="dxa"/>
            </w:tcMar>
          </w:tcPr>
          <w:p w14:paraId="1EB0E24A">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天翼安全大脑</w:t>
            </w:r>
          </w:p>
        </w:tc>
        <w:tc>
          <w:tcPr>
            <w:tcW w:w="2760" w:type="dxa"/>
            <w:tcMar>
              <w:top w:w="60" w:type="dxa"/>
              <w:left w:w="120" w:type="dxa"/>
              <w:bottom w:w="30" w:type="dxa"/>
              <w:right w:w="120" w:type="dxa"/>
            </w:tcMar>
          </w:tcPr>
          <w:p w14:paraId="612F2EA9">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网络边界入侵防御、病毒查杀、失陷主机定位</w:t>
            </w:r>
          </w:p>
        </w:tc>
      </w:tr>
      <w:tr w14:paraId="35E48A44">
        <w:tc>
          <w:tcPr>
            <w:tcW w:w="2760" w:type="dxa"/>
            <w:tcMar>
              <w:top w:w="60" w:type="dxa"/>
              <w:left w:w="120" w:type="dxa"/>
              <w:bottom w:w="30" w:type="dxa"/>
              <w:right w:w="120" w:type="dxa"/>
            </w:tcMar>
          </w:tcPr>
          <w:p w14:paraId="15ECA623">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访问控制</w:t>
            </w:r>
          </w:p>
        </w:tc>
        <w:tc>
          <w:tcPr>
            <w:tcW w:w="2760" w:type="dxa"/>
            <w:tcMar>
              <w:top w:w="60" w:type="dxa"/>
              <w:left w:w="120" w:type="dxa"/>
              <w:bottom w:w="30" w:type="dxa"/>
              <w:right w:w="120" w:type="dxa"/>
            </w:tcMar>
          </w:tcPr>
          <w:p w14:paraId="5F3DF274">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云脉（SASE）</w:t>
            </w:r>
          </w:p>
        </w:tc>
        <w:tc>
          <w:tcPr>
            <w:tcW w:w="2760" w:type="dxa"/>
            <w:tcMar>
              <w:top w:w="60" w:type="dxa"/>
              <w:left w:w="120" w:type="dxa"/>
              <w:bottom w:w="30" w:type="dxa"/>
              <w:right w:w="120" w:type="dxa"/>
            </w:tcMar>
          </w:tcPr>
          <w:p w14:paraId="55A1CC55">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零信任访问、网络隐身、终端安全管控，替代端口映射暴露</w:t>
            </w:r>
          </w:p>
        </w:tc>
      </w:tr>
      <w:tr w14:paraId="4EB06275">
        <w:tc>
          <w:tcPr>
            <w:tcW w:w="2760" w:type="dxa"/>
            <w:tcMar>
              <w:top w:w="60" w:type="dxa"/>
              <w:left w:w="120" w:type="dxa"/>
              <w:bottom w:w="30" w:type="dxa"/>
              <w:right w:w="120" w:type="dxa"/>
            </w:tcMar>
          </w:tcPr>
          <w:p w14:paraId="60F8BCDA">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主机安全</w:t>
            </w:r>
          </w:p>
        </w:tc>
        <w:tc>
          <w:tcPr>
            <w:tcW w:w="2760" w:type="dxa"/>
            <w:tcMar>
              <w:top w:w="60" w:type="dxa"/>
              <w:left w:w="120" w:type="dxa"/>
              <w:bottom w:w="30" w:type="dxa"/>
              <w:right w:w="120" w:type="dxa"/>
            </w:tcMar>
          </w:tcPr>
          <w:p w14:paraId="4C58B15D">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云镜（服务器版）</w:t>
            </w:r>
          </w:p>
        </w:tc>
        <w:tc>
          <w:tcPr>
            <w:tcW w:w="2760" w:type="dxa"/>
            <w:tcMar>
              <w:top w:w="60" w:type="dxa"/>
              <w:left w:w="120" w:type="dxa"/>
              <w:bottom w:w="30" w:type="dxa"/>
              <w:right w:w="120" w:type="dxa"/>
            </w:tcMar>
          </w:tcPr>
          <w:p w14:paraId="313E09ED">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漏洞扫描、基线核查、主机入侵检测</w:t>
            </w:r>
          </w:p>
        </w:tc>
      </w:tr>
      <w:tr w14:paraId="520529BD">
        <w:tc>
          <w:tcPr>
            <w:tcW w:w="2760" w:type="dxa"/>
            <w:tcMar>
              <w:top w:w="60" w:type="dxa"/>
              <w:left w:w="120" w:type="dxa"/>
              <w:bottom w:w="30" w:type="dxa"/>
              <w:right w:w="120" w:type="dxa"/>
            </w:tcMar>
          </w:tcPr>
          <w:p w14:paraId="376C5310">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安全运营</w:t>
            </w:r>
          </w:p>
        </w:tc>
        <w:tc>
          <w:tcPr>
            <w:tcW w:w="2760" w:type="dxa"/>
            <w:tcMar>
              <w:top w:w="60" w:type="dxa"/>
              <w:left w:w="120" w:type="dxa"/>
              <w:bottom w:w="30" w:type="dxa"/>
              <w:right w:w="120" w:type="dxa"/>
            </w:tcMar>
          </w:tcPr>
          <w:p w14:paraId="3478EEBD">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安全运营（MSSP）</w:t>
            </w:r>
          </w:p>
        </w:tc>
        <w:tc>
          <w:tcPr>
            <w:tcW w:w="2760" w:type="dxa"/>
            <w:tcMar>
              <w:top w:w="60" w:type="dxa"/>
              <w:left w:w="120" w:type="dxa"/>
              <w:bottom w:w="30" w:type="dxa"/>
              <w:right w:w="120" w:type="dxa"/>
            </w:tcMar>
          </w:tcPr>
          <w:p w14:paraId="3F42DFD2">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7×24h安全监测、应急响应、定期评估</w:t>
            </w:r>
          </w:p>
        </w:tc>
      </w:tr>
      <w:tr w14:paraId="688D400F">
        <w:tc>
          <w:tcPr>
            <w:tcW w:w="2760" w:type="dxa"/>
            <w:tcMar>
              <w:top w:w="60" w:type="dxa"/>
              <w:left w:w="120" w:type="dxa"/>
              <w:bottom w:w="30" w:type="dxa"/>
              <w:right w:w="120" w:type="dxa"/>
            </w:tcMar>
          </w:tcPr>
          <w:p w14:paraId="59417FB4">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Web防护（可选）</w:t>
            </w:r>
          </w:p>
        </w:tc>
        <w:tc>
          <w:tcPr>
            <w:tcW w:w="2760" w:type="dxa"/>
            <w:tcMar>
              <w:top w:w="60" w:type="dxa"/>
              <w:left w:w="120" w:type="dxa"/>
              <w:bottom w:w="30" w:type="dxa"/>
              <w:right w:w="120" w:type="dxa"/>
            </w:tcMar>
          </w:tcPr>
          <w:p w14:paraId="1240307B">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网站安全专家</w:t>
            </w:r>
          </w:p>
        </w:tc>
        <w:tc>
          <w:tcPr>
            <w:tcW w:w="2760" w:type="dxa"/>
            <w:tcMar>
              <w:top w:w="60" w:type="dxa"/>
              <w:left w:w="120" w:type="dxa"/>
              <w:bottom w:w="30" w:type="dxa"/>
              <w:right w:w="120" w:type="dxa"/>
            </w:tcMar>
          </w:tcPr>
          <w:p w14:paraId="129CB672">
            <w:pPr>
              <w:spacing w:before="120" w:after="120" w:line="288" w:lineRule="auto"/>
              <w:jc w:val="left"/>
              <w:rPr>
                <w:rFonts w:hint="eastAsia" w:ascii="宋体" w:hAnsi="宋体" w:eastAsia="宋体" w:cs="宋体"/>
                <w:sz w:val="20"/>
                <w:szCs w:val="21"/>
              </w:rPr>
            </w:pPr>
            <w:r>
              <w:rPr>
                <w:rFonts w:hint="eastAsia" w:ascii="宋体" w:hAnsi="宋体" w:eastAsia="宋体" w:cs="宋体"/>
                <w:szCs w:val="21"/>
              </w:rPr>
              <w:t>网页防篡改、Web攻击拦截</w:t>
            </w:r>
          </w:p>
        </w:tc>
      </w:tr>
      <w:tr w14:paraId="55C41870">
        <w:tc>
          <w:tcPr>
            <w:tcW w:w="2760" w:type="dxa"/>
            <w:tcMar>
              <w:top w:w="60" w:type="dxa"/>
              <w:left w:w="120" w:type="dxa"/>
              <w:bottom w:w="30" w:type="dxa"/>
              <w:right w:w="120" w:type="dxa"/>
            </w:tcMar>
          </w:tcPr>
          <w:p w14:paraId="0360CC11">
            <w:pPr>
              <w:spacing w:before="120" w:after="120" w:line="288" w:lineRule="auto"/>
              <w:jc w:val="left"/>
              <w:rPr>
                <w:rFonts w:hint="eastAsia" w:ascii="宋体" w:hAnsi="宋体" w:eastAsia="宋体" w:cs="宋体"/>
                <w:szCs w:val="21"/>
              </w:rPr>
            </w:pPr>
            <w:r>
              <w:rPr>
                <w:rFonts w:hint="eastAsia" w:ascii="宋体" w:hAnsi="宋体" w:eastAsia="宋体" w:cs="宋体"/>
                <w:szCs w:val="21"/>
              </w:rPr>
              <w:t>安全服务</w:t>
            </w:r>
          </w:p>
        </w:tc>
        <w:tc>
          <w:tcPr>
            <w:tcW w:w="2760" w:type="dxa"/>
            <w:tcMar>
              <w:top w:w="60" w:type="dxa"/>
              <w:left w:w="120" w:type="dxa"/>
              <w:bottom w:w="30" w:type="dxa"/>
              <w:right w:w="120" w:type="dxa"/>
            </w:tcMar>
          </w:tcPr>
          <w:p w14:paraId="338164F2">
            <w:pPr>
              <w:spacing w:before="120" w:after="120" w:line="288" w:lineRule="auto"/>
              <w:jc w:val="left"/>
              <w:rPr>
                <w:rFonts w:hint="eastAsia" w:ascii="宋体" w:hAnsi="宋体" w:eastAsia="宋体" w:cs="宋体"/>
                <w:szCs w:val="21"/>
              </w:rPr>
            </w:pPr>
            <w:r>
              <w:rPr>
                <w:rFonts w:hint="eastAsia" w:ascii="宋体" w:hAnsi="宋体" w:eastAsia="宋体" w:cs="宋体"/>
                <w:szCs w:val="21"/>
              </w:rPr>
              <w:t>云剑安服</w:t>
            </w:r>
          </w:p>
        </w:tc>
        <w:tc>
          <w:tcPr>
            <w:tcW w:w="2760" w:type="dxa"/>
            <w:tcMar>
              <w:top w:w="60" w:type="dxa"/>
              <w:left w:w="120" w:type="dxa"/>
              <w:bottom w:w="30" w:type="dxa"/>
              <w:right w:w="120" w:type="dxa"/>
            </w:tcMar>
          </w:tcPr>
          <w:p w14:paraId="060A574F">
            <w:pPr>
              <w:spacing w:before="120" w:after="120" w:line="288" w:lineRule="auto"/>
              <w:jc w:val="left"/>
              <w:rPr>
                <w:rFonts w:hint="eastAsia" w:ascii="宋体" w:hAnsi="宋体" w:eastAsia="宋体" w:cs="宋体"/>
                <w:szCs w:val="21"/>
              </w:rPr>
            </w:pPr>
            <w:r>
              <w:rPr>
                <w:rFonts w:ascii="宋体" w:hAnsi="宋体" w:eastAsia="宋体"/>
              </w:rPr>
              <w:t>漏洞扫描</w:t>
            </w:r>
            <w:r>
              <w:rPr>
                <w:rFonts w:hint="eastAsia" w:ascii="宋体" w:hAnsi="宋体" w:eastAsia="宋体"/>
              </w:rPr>
              <w:t>、</w:t>
            </w:r>
            <w:r>
              <w:rPr>
                <w:rFonts w:ascii="宋体" w:hAnsi="宋体" w:eastAsia="宋体"/>
              </w:rPr>
              <w:t>渗透测试</w:t>
            </w:r>
            <w:r>
              <w:rPr>
                <w:rFonts w:hint="eastAsia" w:ascii="宋体" w:hAnsi="宋体" w:eastAsia="宋体"/>
              </w:rPr>
              <w:t>、</w:t>
            </w:r>
            <w:r>
              <w:rPr>
                <w:rFonts w:ascii="宋体" w:hAnsi="宋体" w:eastAsia="宋体"/>
              </w:rPr>
              <w:t>应急响应</w:t>
            </w:r>
            <w:r>
              <w:rPr>
                <w:rFonts w:hint="eastAsia" w:ascii="宋体" w:hAnsi="宋体" w:eastAsia="宋体"/>
              </w:rPr>
              <w:t>、</w:t>
            </w:r>
            <w:r>
              <w:rPr>
                <w:rFonts w:ascii="宋体" w:hAnsi="宋体" w:eastAsia="宋体"/>
              </w:rPr>
              <w:t>网络安全巡检</w:t>
            </w:r>
          </w:p>
        </w:tc>
      </w:tr>
    </w:tbl>
    <w:p w14:paraId="0B5B6043">
      <w:pPr>
        <w:spacing w:before="380" w:after="140" w:line="288" w:lineRule="auto"/>
        <w:jc w:val="left"/>
        <w:outlineLvl w:val="0"/>
        <w:rPr>
          <w:rFonts w:hint="eastAsia" w:ascii="宋体" w:hAnsi="宋体" w:eastAsia="宋体" w:cs="宋体"/>
        </w:rPr>
      </w:pPr>
      <w:bookmarkStart w:id="2" w:name="heading_2"/>
      <w:r>
        <w:rPr>
          <w:rFonts w:hint="eastAsia" w:ascii="宋体" w:hAnsi="宋体" w:eastAsia="宋体" w:cs="宋体"/>
          <w:b/>
          <w:sz w:val="36"/>
        </w:rPr>
        <w:t>三、核心产品方案</w:t>
      </w:r>
      <w:bookmarkEnd w:id="2"/>
    </w:p>
    <w:p w14:paraId="3DDA509E">
      <w:pPr>
        <w:spacing w:before="320" w:after="120" w:line="288" w:lineRule="auto"/>
        <w:jc w:val="left"/>
        <w:outlineLvl w:val="1"/>
        <w:rPr>
          <w:rFonts w:hint="eastAsia" w:ascii="宋体" w:hAnsi="宋体" w:eastAsia="宋体" w:cs="宋体"/>
          <w:sz w:val="20"/>
          <w:szCs w:val="21"/>
        </w:rPr>
      </w:pPr>
      <w:bookmarkStart w:id="3" w:name="heading_3"/>
      <w:r>
        <w:rPr>
          <w:rFonts w:hint="eastAsia" w:ascii="宋体" w:hAnsi="宋体" w:eastAsia="宋体" w:cs="宋体"/>
          <w:b/>
          <w:sz w:val="28"/>
          <w:szCs w:val="21"/>
        </w:rPr>
        <w:t>（一）天翼安全大脑——网络边界防护</w:t>
      </w:r>
      <w:bookmarkEnd w:id="3"/>
    </w:p>
    <w:p w14:paraId="070DE68A">
      <w:pPr>
        <w:spacing w:before="120" w:after="120" w:line="288" w:lineRule="auto"/>
        <w:ind w:firstLine="500"/>
        <w:jc w:val="left"/>
        <w:rPr>
          <w:rFonts w:hint="eastAsia" w:ascii="宋体" w:hAnsi="宋体" w:eastAsia="宋体" w:cs="宋体"/>
        </w:rPr>
      </w:pPr>
      <w:r>
        <w:rPr>
          <w:rFonts w:hint="eastAsia" w:ascii="宋体" w:hAnsi="宋体" w:eastAsia="宋体" w:cs="宋体"/>
          <w:sz w:val="22"/>
        </w:rPr>
        <w:t>天翼安全大脑在本地部署安全网关，实时发现和阻断来自互联网的蠕虫、病毒、间谍软件及黑客攻击，同时防止内部异常外联，遏制勒索病毒跨区域扩散。产品集成了下一代防火墙、入侵防御、防病毒、URL过滤等核心能力，可精准定位失陷主机、实时阻断恶意连接并自动告警。结合云端AI分析平台，实现安全事件分钟级闭环处置。</w:t>
      </w:r>
    </w:p>
    <w:p w14:paraId="32419F5E">
      <w:pPr>
        <w:spacing w:before="120" w:after="120" w:line="288" w:lineRule="auto"/>
        <w:jc w:val="left"/>
        <w:rPr>
          <w:rFonts w:hint="eastAsia" w:ascii="宋体" w:hAnsi="宋体" w:eastAsia="宋体" w:cs="宋体"/>
        </w:rPr>
      </w:pPr>
      <w:r>
        <w:rPr>
          <w:rFonts w:hint="eastAsia" w:ascii="宋体" w:hAnsi="宋体" w:eastAsia="宋体" w:cs="宋体"/>
          <w:b/>
          <w:sz w:val="22"/>
        </w:rPr>
        <w:t>防护能力</w:t>
      </w:r>
      <w:r>
        <w:rPr>
          <w:rFonts w:hint="eastAsia" w:ascii="宋体" w:hAnsi="宋体" w:eastAsia="宋体" w:cs="宋体"/>
          <w:sz w:val="22"/>
        </w:rPr>
        <w:t>：下一代防火墙 + 入侵防御 + 全流量病毒检测 + 勒索病毒专项防护</w:t>
      </w:r>
    </w:p>
    <w:p w14:paraId="76D67D47">
      <w:pPr>
        <w:spacing w:before="120" w:after="120" w:line="288" w:lineRule="auto"/>
        <w:jc w:val="left"/>
        <w:rPr>
          <w:rFonts w:hint="eastAsia" w:ascii="宋体" w:hAnsi="宋体" w:eastAsia="宋体" w:cs="宋体"/>
        </w:rPr>
      </w:pPr>
      <w:r>
        <w:rPr>
          <w:rFonts w:hint="eastAsia" w:ascii="宋体" w:hAnsi="宋体" w:eastAsia="宋体" w:cs="宋体"/>
          <w:b/>
          <w:sz w:val="22"/>
        </w:rPr>
        <w:t>部署方式</w:t>
      </w:r>
      <w:r>
        <w:rPr>
          <w:rFonts w:hint="eastAsia" w:ascii="宋体" w:hAnsi="宋体" w:eastAsia="宋体" w:cs="宋体"/>
          <w:sz w:val="22"/>
        </w:rPr>
        <w:t>：本地安全网关 + 云端安全运营平台联动</w:t>
      </w:r>
    </w:p>
    <w:p w14:paraId="2108559A">
      <w:pPr>
        <w:spacing w:before="120" w:after="120" w:line="288" w:lineRule="auto"/>
        <w:jc w:val="left"/>
        <w:rPr>
          <w:rFonts w:hint="eastAsia" w:ascii="宋体" w:hAnsi="宋体" w:eastAsia="宋体" w:cs="宋体"/>
        </w:rPr>
      </w:pPr>
      <w:r>
        <w:rPr>
          <w:rFonts w:hint="eastAsia" w:ascii="宋体" w:hAnsi="宋体" w:eastAsia="宋体" w:cs="宋体"/>
          <w:b/>
          <w:sz w:val="22"/>
        </w:rPr>
        <w:t>推荐规格</w:t>
      </w:r>
      <w:r>
        <w:rPr>
          <w:rFonts w:hint="eastAsia" w:ascii="宋体" w:hAnsi="宋体" w:eastAsia="宋体" w:cs="宋体"/>
          <w:sz w:val="22"/>
        </w:rPr>
        <w:t>：天翼安全大脑防护版（根据出口带宽选择对应规格）</w:t>
      </w:r>
    </w:p>
    <w:p w14:paraId="10AA7EDC">
      <w:pPr>
        <w:spacing w:before="320" w:after="120" w:line="288" w:lineRule="auto"/>
        <w:jc w:val="left"/>
        <w:outlineLvl w:val="1"/>
        <w:rPr>
          <w:rFonts w:hint="eastAsia" w:ascii="宋体" w:hAnsi="宋体" w:eastAsia="宋体" w:cs="宋体"/>
          <w:sz w:val="20"/>
          <w:szCs w:val="21"/>
        </w:rPr>
      </w:pPr>
      <w:bookmarkStart w:id="4" w:name="heading_4"/>
      <w:r>
        <w:rPr>
          <w:rFonts w:hint="eastAsia" w:ascii="宋体" w:hAnsi="宋体" w:eastAsia="宋体" w:cs="宋体"/>
          <w:b/>
          <w:sz w:val="28"/>
          <w:szCs w:val="21"/>
        </w:rPr>
        <w:t>（二）云脉（SASE）——零信任访问控制，收敛公网暴露面</w:t>
      </w:r>
      <w:bookmarkEnd w:id="4"/>
    </w:p>
    <w:p w14:paraId="4B0B26F1">
      <w:pPr>
        <w:spacing w:before="120" w:after="120" w:line="288" w:lineRule="auto"/>
        <w:ind w:firstLine="500"/>
        <w:jc w:val="left"/>
        <w:rPr>
          <w:rFonts w:hint="eastAsia" w:ascii="宋体" w:hAnsi="宋体" w:eastAsia="宋体" w:cs="宋体"/>
        </w:rPr>
      </w:pPr>
      <w:r>
        <w:rPr>
          <w:rFonts w:hint="eastAsia" w:ascii="宋体" w:hAnsi="宋体" w:eastAsia="宋体" w:cs="宋体"/>
          <w:sz w:val="22"/>
        </w:rPr>
        <w:t>针对OA等业务系统通过端口映射直接暴露公网的高危风险，云脉SASE融合零信任网络访问（ZTNA）、终端威胁检测（EDR）、数据防泄漏（XDLP）等能力，将业务系统完全隐藏在云脉安全网关之后，</w:t>
      </w:r>
      <w:r>
        <w:rPr>
          <w:rFonts w:hint="eastAsia" w:ascii="宋体" w:hAnsi="宋体" w:eastAsia="宋体" w:cs="宋体"/>
          <w:b/>
          <w:sz w:val="22"/>
        </w:rPr>
        <w:t>对外不暴露任何IP和端口</w:t>
      </w:r>
      <w:r>
        <w:rPr>
          <w:rFonts w:hint="eastAsia" w:ascii="宋体" w:hAnsi="宋体" w:eastAsia="宋体" w:cs="宋体"/>
          <w:sz w:val="22"/>
        </w:rPr>
        <w:t>，彻底消除端口映射带来的攻击面。用户访问OA等系统需通过零信任代理进行持续身份验证与设备安全校验，遵循“持续验证、永不信任”原则，即使账号密码泄露，攻击者也难以直接触及内网系统。</w:t>
      </w:r>
    </w:p>
    <w:p w14:paraId="451D617D">
      <w:pPr>
        <w:spacing w:before="120" w:after="120" w:line="288" w:lineRule="auto"/>
        <w:jc w:val="left"/>
        <w:rPr>
          <w:rFonts w:hint="eastAsia" w:ascii="宋体" w:hAnsi="宋体" w:eastAsia="宋体" w:cs="宋体"/>
        </w:rPr>
      </w:pPr>
      <w:r>
        <w:rPr>
          <w:rFonts w:hint="eastAsia" w:ascii="宋体" w:hAnsi="宋体" w:eastAsia="宋体" w:cs="宋体"/>
          <w:sz w:val="22"/>
        </w:rPr>
        <w:t>同时，云脉集成终端安全能力，提供病毒查杀、漏洞修复、DNS安全等一体化防护，并支持全链路数据防泄漏管控。该方案可将数据泄露风险降低约90%，运维成本下降约70%，并从根本上解决业务系统不当暴露的安全隐患。</w:t>
      </w:r>
    </w:p>
    <w:p w14:paraId="3DD2A2CF">
      <w:pPr>
        <w:spacing w:before="120" w:after="120" w:line="288" w:lineRule="auto"/>
        <w:jc w:val="left"/>
        <w:rPr>
          <w:rFonts w:hint="eastAsia" w:ascii="宋体" w:hAnsi="宋体" w:eastAsia="宋体" w:cs="宋体"/>
        </w:rPr>
      </w:pPr>
      <w:r>
        <w:rPr>
          <w:rFonts w:hint="eastAsia" w:ascii="宋体" w:hAnsi="宋体" w:eastAsia="宋体" w:cs="宋体"/>
          <w:b/>
          <w:sz w:val="22"/>
        </w:rPr>
        <w:t>核心能力</w:t>
      </w:r>
      <w:r>
        <w:rPr>
          <w:rFonts w:hint="eastAsia" w:ascii="宋体" w:hAnsi="宋体" w:eastAsia="宋体" w:cs="宋体"/>
          <w:sz w:val="22"/>
        </w:rPr>
        <w:t>：零信任访问控制（替代端口映射）+ 终端安全防护 + 全链路数据防泄漏</w:t>
      </w:r>
    </w:p>
    <w:p w14:paraId="657DBB73">
      <w:pPr>
        <w:spacing w:before="120" w:after="120" w:line="288" w:lineRule="auto"/>
        <w:jc w:val="left"/>
        <w:rPr>
          <w:rFonts w:hint="eastAsia" w:ascii="宋体" w:hAnsi="宋体" w:eastAsia="宋体" w:cs="宋体"/>
        </w:rPr>
      </w:pPr>
      <w:r>
        <w:rPr>
          <w:rFonts w:hint="eastAsia" w:ascii="宋体" w:hAnsi="宋体" w:eastAsia="宋体" w:cs="宋体"/>
          <w:b/>
          <w:sz w:val="22"/>
        </w:rPr>
        <w:t>部署方式</w:t>
      </w:r>
      <w:r>
        <w:rPr>
          <w:rFonts w:hint="eastAsia" w:ascii="宋体" w:hAnsi="宋体" w:eastAsia="宋体" w:cs="宋体"/>
          <w:sz w:val="22"/>
        </w:rPr>
        <w:t>：SaaS化订阅，分钟级开通，业务系统无需改造公网暴露方式</w:t>
      </w:r>
    </w:p>
    <w:p w14:paraId="5DF9B1C1">
      <w:pPr>
        <w:spacing w:before="320" w:after="120" w:line="288" w:lineRule="auto"/>
        <w:jc w:val="left"/>
        <w:outlineLvl w:val="1"/>
        <w:rPr>
          <w:rFonts w:hint="eastAsia" w:ascii="宋体" w:hAnsi="宋体" w:eastAsia="宋体" w:cs="宋体"/>
        </w:rPr>
      </w:pPr>
      <w:bookmarkStart w:id="5" w:name="heading_5"/>
      <w:r>
        <w:rPr>
          <w:rFonts w:hint="eastAsia" w:ascii="宋体" w:hAnsi="宋体" w:eastAsia="宋体" w:cs="宋体"/>
          <w:b/>
          <w:sz w:val="32"/>
        </w:rPr>
        <w:t>（三）云镜（服务器版）——主机漏洞与基线安全</w:t>
      </w:r>
      <w:bookmarkEnd w:id="5"/>
    </w:p>
    <w:p w14:paraId="4032117B">
      <w:pPr>
        <w:spacing w:before="120" w:after="120" w:line="288" w:lineRule="auto"/>
        <w:ind w:firstLine="500"/>
        <w:jc w:val="left"/>
        <w:rPr>
          <w:rFonts w:hint="eastAsia" w:ascii="宋体" w:hAnsi="宋体" w:eastAsia="宋体" w:cs="宋体"/>
        </w:rPr>
      </w:pPr>
      <w:r>
        <w:rPr>
          <w:rFonts w:hint="eastAsia" w:ascii="宋体" w:hAnsi="宋体" w:eastAsia="宋体" w:cs="宋体"/>
          <w:sz w:val="22"/>
        </w:rPr>
        <w:t>云镜（服务器版）对服务器进行全面脆弱性管理，提供系统漏洞扫描、弱口令检测、配置脆弱性识别，并持续更新高级威胁及零日漏洞插件，及时预警安全隐患并给出专业修复指导。同时针对操作系统、数据库等环境进行基线规范逐项比对，发现不合规配置并提供加固方案，显著降低因主机脆弱性被利用的风险。</w:t>
      </w:r>
    </w:p>
    <w:p w14:paraId="02DA2986">
      <w:pPr>
        <w:spacing w:before="120" w:after="120" w:line="288" w:lineRule="auto"/>
        <w:jc w:val="left"/>
        <w:rPr>
          <w:rFonts w:hint="eastAsia" w:ascii="宋体" w:hAnsi="宋体" w:eastAsia="宋体" w:cs="宋体"/>
        </w:rPr>
      </w:pPr>
      <w:r>
        <w:rPr>
          <w:rFonts w:hint="eastAsia" w:ascii="宋体" w:hAnsi="宋体" w:eastAsia="宋体" w:cs="宋体"/>
          <w:b/>
          <w:sz w:val="22"/>
        </w:rPr>
        <w:t>核心能力</w:t>
      </w:r>
      <w:r>
        <w:rPr>
          <w:rFonts w:hint="eastAsia" w:ascii="宋体" w:hAnsi="宋体" w:eastAsia="宋体" w:cs="宋体"/>
          <w:sz w:val="22"/>
        </w:rPr>
        <w:t>：全面漏洞扫描 + 基线安全核查 + 弱口令检测 + 专业修复指导</w:t>
      </w:r>
    </w:p>
    <w:p w14:paraId="098C1482">
      <w:pPr>
        <w:spacing w:before="120" w:after="120" w:line="288" w:lineRule="auto"/>
        <w:jc w:val="left"/>
        <w:rPr>
          <w:rFonts w:hint="eastAsia" w:ascii="宋体" w:hAnsi="宋体" w:eastAsia="宋体" w:cs="宋体"/>
        </w:rPr>
      </w:pPr>
      <w:r>
        <w:rPr>
          <w:rFonts w:hint="eastAsia" w:ascii="宋体" w:hAnsi="宋体" w:eastAsia="宋体" w:cs="宋体"/>
          <w:b/>
          <w:sz w:val="22"/>
        </w:rPr>
        <w:t>部署方式</w:t>
      </w:r>
      <w:r>
        <w:rPr>
          <w:rFonts w:hint="eastAsia" w:ascii="宋体" w:hAnsi="宋体" w:eastAsia="宋体" w:cs="宋体"/>
          <w:sz w:val="22"/>
        </w:rPr>
        <w:t>：SaaS化服务，按服务器数量订阅</w:t>
      </w:r>
    </w:p>
    <w:p w14:paraId="6E0A05B9">
      <w:pPr>
        <w:spacing w:before="320" w:after="120" w:line="288" w:lineRule="auto"/>
        <w:jc w:val="left"/>
        <w:outlineLvl w:val="1"/>
        <w:rPr>
          <w:rFonts w:hint="eastAsia" w:ascii="宋体" w:hAnsi="宋体" w:eastAsia="宋体" w:cs="宋体"/>
        </w:rPr>
      </w:pPr>
      <w:bookmarkStart w:id="6" w:name="heading_6"/>
      <w:r>
        <w:rPr>
          <w:rFonts w:hint="eastAsia" w:ascii="宋体" w:hAnsi="宋体" w:eastAsia="宋体" w:cs="宋体"/>
          <w:b/>
          <w:sz w:val="32"/>
        </w:rPr>
        <w:t>（四）托管运营（MSSP）——持续安全运营</w:t>
      </w:r>
      <w:bookmarkEnd w:id="6"/>
    </w:p>
    <w:p w14:paraId="0F06A2B2">
      <w:pPr>
        <w:spacing w:before="120" w:after="120" w:line="288" w:lineRule="auto"/>
        <w:ind w:firstLine="500"/>
        <w:jc w:val="left"/>
        <w:rPr>
          <w:rFonts w:hint="eastAsia" w:ascii="宋体" w:hAnsi="宋体" w:eastAsia="宋体" w:cs="宋体"/>
        </w:rPr>
      </w:pPr>
      <w:r>
        <w:rPr>
          <w:rFonts w:hint="eastAsia" w:ascii="宋体" w:hAnsi="宋体" w:eastAsia="宋体" w:cs="宋体"/>
          <w:sz w:val="22"/>
        </w:rPr>
        <w:t>依托中国电信云堤安全托管服务（MSSP），构建集攻击监测、威胁情报生成、自动化响应于一体的安全运营体系。采用“云端运营+属地化服务”模式，通过标准化安全运营流程，提供7×24小时持续监测、安全事件研判、应急响应处置、周期性风险评估及威胁情报推送，弥补组织自身安全运营能力缺口，大幅缩短平均检测与响应时间。</w:t>
      </w:r>
    </w:p>
    <w:p w14:paraId="5CA695C3">
      <w:pPr>
        <w:spacing w:before="120" w:after="120" w:line="288" w:lineRule="auto"/>
        <w:jc w:val="left"/>
        <w:rPr>
          <w:rFonts w:hint="eastAsia" w:ascii="宋体" w:hAnsi="宋体" w:eastAsia="宋体" w:cs="宋体"/>
        </w:rPr>
      </w:pPr>
      <w:r>
        <w:rPr>
          <w:rFonts w:hint="eastAsia" w:ascii="宋体" w:hAnsi="宋体" w:eastAsia="宋体" w:cs="宋体"/>
          <w:b/>
          <w:sz w:val="22"/>
        </w:rPr>
        <w:t>核心能力</w:t>
      </w:r>
      <w:r>
        <w:rPr>
          <w:rFonts w:hint="eastAsia" w:ascii="宋体" w:hAnsi="宋体" w:eastAsia="宋体" w:cs="宋体"/>
          <w:sz w:val="22"/>
        </w:rPr>
        <w:t>：7×24h安全监测 ++定期安全评估 + 威胁情报推送</w:t>
      </w:r>
    </w:p>
    <w:p w14:paraId="488B9AC1">
      <w:pPr>
        <w:spacing w:before="120" w:after="120" w:line="288" w:lineRule="auto"/>
        <w:jc w:val="left"/>
        <w:rPr>
          <w:rFonts w:hint="eastAsia" w:ascii="宋体" w:hAnsi="宋体" w:eastAsia="宋体" w:cs="宋体"/>
        </w:rPr>
      </w:pPr>
      <w:r>
        <w:rPr>
          <w:rFonts w:hint="eastAsia" w:ascii="宋体" w:hAnsi="宋体" w:eastAsia="宋体" w:cs="宋体"/>
          <w:b/>
          <w:sz w:val="22"/>
        </w:rPr>
        <w:t>部署方式</w:t>
      </w:r>
      <w:r>
        <w:rPr>
          <w:rFonts w:hint="eastAsia" w:ascii="宋体" w:hAnsi="宋体" w:eastAsia="宋体" w:cs="宋体"/>
          <w:sz w:val="22"/>
        </w:rPr>
        <w:t xml:space="preserve">：远程交付 </w:t>
      </w:r>
    </w:p>
    <w:p w14:paraId="3CEA73A0">
      <w:pPr>
        <w:spacing w:before="320" w:after="120" w:line="288" w:lineRule="auto"/>
        <w:jc w:val="left"/>
        <w:outlineLvl w:val="1"/>
        <w:rPr>
          <w:rFonts w:hint="eastAsia" w:ascii="宋体" w:hAnsi="宋体" w:eastAsia="宋体" w:cs="宋体"/>
        </w:rPr>
      </w:pPr>
      <w:bookmarkStart w:id="7" w:name="heading_7"/>
      <w:r>
        <w:rPr>
          <w:rFonts w:hint="eastAsia" w:ascii="宋体" w:hAnsi="宋体" w:eastAsia="宋体" w:cs="宋体"/>
          <w:b/>
          <w:sz w:val="32"/>
        </w:rPr>
        <w:t>（五）网站安全专家（可选）</w:t>
      </w:r>
      <w:bookmarkEnd w:id="7"/>
    </w:p>
    <w:p w14:paraId="0EDE3601">
      <w:pPr>
        <w:spacing w:before="120" w:after="120" w:line="288" w:lineRule="auto"/>
        <w:ind w:firstLine="500"/>
        <w:jc w:val="left"/>
        <w:rPr>
          <w:rFonts w:hint="eastAsia" w:ascii="宋体" w:hAnsi="宋体" w:eastAsia="宋体" w:cs="宋体"/>
          <w:sz w:val="22"/>
        </w:rPr>
      </w:pPr>
      <w:r>
        <w:rPr>
          <w:rFonts w:hint="eastAsia" w:ascii="宋体" w:hAnsi="宋体" w:eastAsia="宋体" w:cs="宋体"/>
          <w:sz w:val="22"/>
        </w:rPr>
        <w:t>为对外网站提供防篡改、防挂马、Web攻击拦截等防护能力，可有效检测SQL注入、XSS跨站等攻击类型，并提供实时告警与攻击溯源。建议存在对外Web业务的单位根据业务重要程度选配。</w:t>
      </w:r>
    </w:p>
    <w:p w14:paraId="0020F775">
      <w:pPr>
        <w:spacing w:before="320" w:after="120" w:line="288" w:lineRule="auto"/>
        <w:jc w:val="left"/>
        <w:outlineLvl w:val="1"/>
        <w:rPr>
          <w:rFonts w:hint="eastAsia" w:ascii="宋体" w:hAnsi="宋体" w:eastAsia="宋体" w:cs="宋体"/>
          <w:b/>
          <w:sz w:val="32"/>
        </w:rPr>
      </w:pPr>
      <w:r>
        <w:rPr>
          <w:rFonts w:hint="eastAsia" w:ascii="宋体" w:hAnsi="宋体" w:eastAsia="宋体" w:cs="宋体"/>
          <w:b/>
          <w:sz w:val="32"/>
        </w:rPr>
        <w:t>（六）云剑安服</w:t>
      </w:r>
    </w:p>
    <w:p w14:paraId="67AF5520">
      <w:pPr>
        <w:pStyle w:val="2"/>
        <w:rPr>
          <w:rFonts w:hint="eastAsia" w:ascii="宋体" w:hAnsi="宋体" w:eastAsia="宋体"/>
          <w:lang w:eastAsia="zh-CN"/>
        </w:rPr>
      </w:pPr>
      <w:r>
        <w:rPr>
          <w:rFonts w:hint="eastAsia" w:ascii="宋体" w:hAnsi="宋体" w:eastAsia="宋体"/>
          <w:lang w:eastAsia="zh-CN"/>
        </w:rPr>
        <w:t>1、</w:t>
      </w:r>
      <w:r>
        <w:rPr>
          <w:rFonts w:ascii="宋体" w:hAnsi="宋体" w:eastAsia="宋体"/>
          <w:lang w:eastAsia="zh-CN"/>
        </w:rPr>
        <w:t>漏洞扫描服务</w:t>
      </w:r>
    </w:p>
    <w:p w14:paraId="4C61A675">
      <w:pPr>
        <w:pStyle w:val="8"/>
        <w:numPr>
          <w:ilvl w:val="0"/>
          <w:numId w:val="5"/>
        </w:numPr>
        <w:ind w:firstLineChars="0"/>
        <w:rPr>
          <w:rFonts w:hint="eastAsia" w:ascii="宋体" w:hAnsi="宋体" w:eastAsia="宋体"/>
        </w:rPr>
      </w:pPr>
      <w:r>
        <w:rPr>
          <w:rFonts w:ascii="宋体" w:hAnsi="宋体" w:eastAsia="宋体"/>
        </w:rPr>
        <w:t>服务内容：采用设备漏扫的形式，对互联网资产进行漏洞扫描。</w:t>
      </w:r>
    </w:p>
    <w:p w14:paraId="593BBDAE">
      <w:pPr>
        <w:pStyle w:val="8"/>
        <w:numPr>
          <w:ilvl w:val="0"/>
          <w:numId w:val="5"/>
        </w:numPr>
        <w:ind w:firstLineChars="0"/>
        <w:rPr>
          <w:rFonts w:hint="eastAsia" w:ascii="宋体" w:hAnsi="宋体" w:eastAsia="宋体"/>
        </w:rPr>
      </w:pPr>
      <w:r>
        <w:rPr>
          <w:rFonts w:hint="eastAsia" w:ascii="宋体" w:hAnsi="宋体" w:eastAsia="宋体"/>
        </w:rPr>
        <w:t>服务方式：远程</w:t>
      </w:r>
    </w:p>
    <w:p w14:paraId="63E89A9E">
      <w:pPr>
        <w:pStyle w:val="8"/>
        <w:numPr>
          <w:ilvl w:val="0"/>
          <w:numId w:val="5"/>
        </w:numPr>
        <w:ind w:firstLineChars="0"/>
        <w:rPr>
          <w:rFonts w:hint="eastAsia" w:ascii="宋体" w:hAnsi="宋体" w:eastAsia="宋体"/>
        </w:rPr>
      </w:pPr>
      <w:r>
        <w:rPr>
          <w:rFonts w:ascii="宋体" w:hAnsi="宋体" w:eastAsia="宋体"/>
        </w:rPr>
        <w:t xml:space="preserve">服务频次：1 年 </w:t>
      </w:r>
      <w:r>
        <w:rPr>
          <w:rFonts w:hint="eastAsia" w:ascii="宋体" w:hAnsi="宋体" w:eastAsia="宋体"/>
        </w:rPr>
        <w:t>4</w:t>
      </w:r>
      <w:r>
        <w:rPr>
          <w:rFonts w:ascii="宋体" w:hAnsi="宋体" w:eastAsia="宋体"/>
        </w:rPr>
        <w:t xml:space="preserve"> 次（每</w:t>
      </w:r>
      <w:r>
        <w:rPr>
          <w:rFonts w:hint="eastAsia" w:ascii="宋体" w:hAnsi="宋体" w:eastAsia="宋体"/>
        </w:rPr>
        <w:t>季度</w:t>
      </w:r>
      <w:r>
        <w:rPr>
          <w:rFonts w:ascii="宋体" w:hAnsi="宋体" w:eastAsia="宋体"/>
        </w:rPr>
        <w:t>一次）</w:t>
      </w:r>
    </w:p>
    <w:p w14:paraId="6D809A81">
      <w:pPr>
        <w:pStyle w:val="8"/>
        <w:numPr>
          <w:ilvl w:val="0"/>
          <w:numId w:val="5"/>
        </w:numPr>
        <w:ind w:firstLineChars="0"/>
        <w:rPr>
          <w:rFonts w:hint="eastAsia" w:ascii="宋体" w:hAnsi="宋体" w:eastAsia="宋体"/>
        </w:rPr>
      </w:pPr>
      <w:r>
        <w:rPr>
          <w:rFonts w:ascii="宋体" w:hAnsi="宋体" w:eastAsia="宋体"/>
        </w:rPr>
        <w:t>交付成果：出具完整的书面漏洞扫描报告</w:t>
      </w:r>
    </w:p>
    <w:p w14:paraId="79B43168">
      <w:pPr>
        <w:pStyle w:val="2"/>
        <w:rPr>
          <w:rFonts w:hint="eastAsia" w:ascii="宋体" w:hAnsi="宋体" w:eastAsia="宋体"/>
          <w:lang w:eastAsia="zh-CN"/>
        </w:rPr>
      </w:pPr>
      <w:r>
        <w:rPr>
          <w:rFonts w:hint="eastAsia" w:ascii="宋体" w:hAnsi="宋体" w:eastAsia="宋体"/>
          <w:lang w:eastAsia="zh-CN"/>
        </w:rPr>
        <w:t>2、</w:t>
      </w:r>
      <w:r>
        <w:rPr>
          <w:rFonts w:ascii="宋体" w:hAnsi="宋体" w:eastAsia="宋体"/>
          <w:lang w:eastAsia="zh-CN"/>
        </w:rPr>
        <w:t>渗透测试服务</w:t>
      </w:r>
    </w:p>
    <w:p w14:paraId="10D86E60">
      <w:pPr>
        <w:pStyle w:val="8"/>
        <w:numPr>
          <w:ilvl w:val="0"/>
          <w:numId w:val="6"/>
        </w:numPr>
        <w:ind w:firstLineChars="0"/>
        <w:rPr>
          <w:rFonts w:hint="eastAsia" w:ascii="宋体" w:hAnsi="宋体" w:eastAsia="宋体"/>
        </w:rPr>
      </w:pPr>
      <w:r>
        <w:rPr>
          <w:rFonts w:ascii="宋体" w:hAnsi="宋体" w:eastAsia="宋体"/>
        </w:rPr>
        <w:t>服务内容：对互联网资产进行手工渗透测试，检测系统存在的安全漏洞和薄弱环节。</w:t>
      </w:r>
    </w:p>
    <w:p w14:paraId="5A0F1BA3">
      <w:pPr>
        <w:pStyle w:val="8"/>
        <w:numPr>
          <w:ilvl w:val="0"/>
          <w:numId w:val="6"/>
        </w:numPr>
        <w:ind w:firstLineChars="0"/>
        <w:rPr>
          <w:rFonts w:hint="eastAsia" w:ascii="宋体" w:hAnsi="宋体" w:eastAsia="宋体"/>
        </w:rPr>
      </w:pPr>
      <w:r>
        <w:rPr>
          <w:rFonts w:hint="eastAsia" w:ascii="宋体" w:hAnsi="宋体" w:eastAsia="宋体"/>
        </w:rPr>
        <w:t>服务方式：远程</w:t>
      </w:r>
    </w:p>
    <w:p w14:paraId="10A40FFD">
      <w:pPr>
        <w:pStyle w:val="8"/>
        <w:numPr>
          <w:ilvl w:val="0"/>
          <w:numId w:val="6"/>
        </w:numPr>
        <w:ind w:firstLineChars="0"/>
        <w:rPr>
          <w:rFonts w:hint="eastAsia" w:ascii="宋体" w:hAnsi="宋体" w:eastAsia="宋体"/>
        </w:rPr>
      </w:pPr>
      <w:r>
        <w:rPr>
          <w:rFonts w:ascii="宋体" w:hAnsi="宋体" w:eastAsia="宋体"/>
        </w:rPr>
        <w:t xml:space="preserve">服务频次：1 年 </w:t>
      </w:r>
      <w:r>
        <w:rPr>
          <w:rFonts w:hint="eastAsia" w:ascii="宋体" w:hAnsi="宋体" w:eastAsia="宋体"/>
        </w:rPr>
        <w:t>2</w:t>
      </w:r>
      <w:r>
        <w:rPr>
          <w:rFonts w:ascii="宋体" w:hAnsi="宋体" w:eastAsia="宋体"/>
        </w:rPr>
        <w:t xml:space="preserve"> 次（每</w:t>
      </w:r>
      <w:r>
        <w:rPr>
          <w:rFonts w:hint="eastAsia" w:ascii="宋体" w:hAnsi="宋体" w:eastAsia="宋体"/>
        </w:rPr>
        <w:t>半年</w:t>
      </w:r>
      <w:r>
        <w:rPr>
          <w:rFonts w:ascii="宋体" w:hAnsi="宋体" w:eastAsia="宋体"/>
        </w:rPr>
        <w:t>一次），网安行动等特殊安全服务周期内的突击渗透测试服务不算在此服务次数内。</w:t>
      </w:r>
    </w:p>
    <w:p w14:paraId="0106133D">
      <w:pPr>
        <w:pStyle w:val="8"/>
        <w:numPr>
          <w:ilvl w:val="0"/>
          <w:numId w:val="6"/>
        </w:numPr>
        <w:ind w:firstLineChars="0"/>
        <w:rPr>
          <w:rFonts w:hint="eastAsia" w:ascii="宋体" w:hAnsi="宋体" w:eastAsia="宋体"/>
        </w:rPr>
      </w:pPr>
      <w:r>
        <w:rPr>
          <w:rFonts w:ascii="宋体" w:hAnsi="宋体" w:eastAsia="宋体"/>
        </w:rPr>
        <w:t>交付成果：出具完整的书面渗透测试报告</w:t>
      </w:r>
    </w:p>
    <w:p w14:paraId="611CB2B8">
      <w:pPr>
        <w:pStyle w:val="2"/>
        <w:rPr>
          <w:rFonts w:hint="eastAsia" w:ascii="宋体" w:hAnsi="宋体" w:eastAsia="宋体"/>
          <w:lang w:eastAsia="zh-CN"/>
        </w:rPr>
      </w:pPr>
      <w:r>
        <w:rPr>
          <w:rFonts w:hint="eastAsia" w:ascii="宋体" w:hAnsi="宋体" w:eastAsia="宋体"/>
          <w:lang w:eastAsia="zh-CN"/>
        </w:rPr>
        <w:t>3、</w:t>
      </w:r>
      <w:r>
        <w:rPr>
          <w:rFonts w:ascii="宋体" w:hAnsi="宋体" w:eastAsia="宋体"/>
          <w:lang w:eastAsia="zh-CN"/>
        </w:rPr>
        <w:t>应急响应服务</w:t>
      </w:r>
    </w:p>
    <w:p w14:paraId="25013974">
      <w:pPr>
        <w:pStyle w:val="8"/>
        <w:numPr>
          <w:ilvl w:val="0"/>
          <w:numId w:val="7"/>
        </w:numPr>
        <w:ind w:firstLineChars="0"/>
        <w:rPr>
          <w:rFonts w:hint="eastAsia" w:ascii="宋体" w:hAnsi="宋体" w:eastAsia="宋体"/>
        </w:rPr>
      </w:pPr>
      <w:r>
        <w:rPr>
          <w:rFonts w:ascii="宋体" w:hAnsi="宋体" w:eastAsia="宋体"/>
        </w:rPr>
        <w:t>服务内容</w:t>
      </w:r>
    </w:p>
    <w:p w14:paraId="3B05D8B4">
      <w:pPr>
        <w:pStyle w:val="8"/>
        <w:numPr>
          <w:ilvl w:val="1"/>
          <w:numId w:val="7"/>
        </w:numPr>
        <w:ind w:firstLineChars="0"/>
        <w:rPr>
          <w:rFonts w:hint="eastAsia" w:ascii="宋体" w:hAnsi="宋体" w:eastAsia="宋体"/>
        </w:rPr>
      </w:pPr>
      <w:r>
        <w:rPr>
          <w:rFonts w:ascii="宋体" w:hAnsi="宋体" w:eastAsia="宋体"/>
        </w:rPr>
        <w:t>遇到黑客恶意针对性攻击，30 分钟之内应急响应，确保系统先运行；2 个小时内提供解决方案。</w:t>
      </w:r>
    </w:p>
    <w:p w14:paraId="6A5748C1">
      <w:pPr>
        <w:pStyle w:val="8"/>
        <w:numPr>
          <w:ilvl w:val="1"/>
          <w:numId w:val="7"/>
        </w:numPr>
        <w:ind w:firstLineChars="0"/>
        <w:rPr>
          <w:rFonts w:hint="eastAsia" w:ascii="宋体" w:hAnsi="宋体" w:eastAsia="宋体"/>
        </w:rPr>
      </w:pPr>
      <w:r>
        <w:rPr>
          <w:rFonts w:ascii="宋体" w:hAnsi="宋体" w:eastAsia="宋体"/>
        </w:rPr>
        <w:t>7*24 小时内，技术人员随时提供响应服务</w:t>
      </w:r>
    </w:p>
    <w:p w14:paraId="318F0C60">
      <w:pPr>
        <w:pStyle w:val="8"/>
        <w:numPr>
          <w:ilvl w:val="1"/>
          <w:numId w:val="7"/>
        </w:numPr>
        <w:ind w:firstLineChars="0"/>
        <w:rPr>
          <w:rFonts w:hint="eastAsia" w:ascii="宋体" w:hAnsi="宋体" w:eastAsia="宋体"/>
        </w:rPr>
      </w:pPr>
      <w:r>
        <w:rPr>
          <w:rFonts w:ascii="宋体" w:hAnsi="宋体" w:eastAsia="宋体"/>
        </w:rPr>
        <w:t>攻击取证：在网站遭受攻击时，分析并保全证据，跟踪攻击行为，为司法介入等后续操作提供依据。</w:t>
      </w:r>
    </w:p>
    <w:p w14:paraId="57DA86CE">
      <w:pPr>
        <w:pStyle w:val="8"/>
        <w:numPr>
          <w:ilvl w:val="0"/>
          <w:numId w:val="7"/>
        </w:numPr>
        <w:ind w:firstLineChars="0"/>
        <w:rPr>
          <w:rFonts w:hint="eastAsia" w:ascii="宋体" w:hAnsi="宋体" w:eastAsia="宋体"/>
        </w:rPr>
      </w:pPr>
      <w:r>
        <w:rPr>
          <w:rFonts w:ascii="宋体" w:hAnsi="宋体" w:eastAsia="宋体"/>
        </w:rPr>
        <w:t>服务频次：实时响应</w:t>
      </w:r>
    </w:p>
    <w:p w14:paraId="7572750F">
      <w:pPr>
        <w:pStyle w:val="8"/>
        <w:numPr>
          <w:ilvl w:val="0"/>
          <w:numId w:val="7"/>
        </w:numPr>
        <w:ind w:firstLineChars="0"/>
        <w:rPr>
          <w:rFonts w:hint="eastAsia" w:ascii="宋体" w:hAnsi="宋体" w:eastAsia="宋体"/>
        </w:rPr>
      </w:pPr>
      <w:r>
        <w:rPr>
          <w:rFonts w:ascii="宋体" w:hAnsi="宋体" w:eastAsia="宋体"/>
        </w:rPr>
        <w:t>交付成果：事故处理及恢复报告、事故描述报告、安全状况跟踪报告</w:t>
      </w:r>
    </w:p>
    <w:p w14:paraId="4301B3B0">
      <w:pPr>
        <w:pStyle w:val="2"/>
        <w:rPr>
          <w:rFonts w:hint="eastAsia" w:ascii="宋体" w:hAnsi="宋体" w:eastAsia="宋体"/>
          <w:lang w:eastAsia="zh-CN"/>
        </w:rPr>
      </w:pPr>
      <w:r>
        <w:rPr>
          <w:rFonts w:hint="eastAsia" w:ascii="宋体" w:hAnsi="宋体" w:eastAsia="宋体"/>
          <w:lang w:eastAsia="zh-CN"/>
        </w:rPr>
        <w:t>4、</w:t>
      </w:r>
      <w:r>
        <w:rPr>
          <w:rFonts w:ascii="宋体" w:hAnsi="宋体" w:eastAsia="宋体"/>
          <w:lang w:eastAsia="zh-CN"/>
        </w:rPr>
        <w:t>网</w:t>
      </w:r>
      <w:r>
        <w:rPr>
          <w:rFonts w:hint="eastAsia" w:ascii="宋体" w:hAnsi="宋体" w:eastAsia="宋体"/>
          <w:lang w:eastAsia="zh-CN"/>
        </w:rPr>
        <w:t>络安全巡检</w:t>
      </w:r>
      <w:r>
        <w:rPr>
          <w:rFonts w:ascii="宋体" w:hAnsi="宋体" w:eastAsia="宋体"/>
          <w:lang w:eastAsia="zh-CN"/>
        </w:rPr>
        <w:t>服务</w:t>
      </w:r>
    </w:p>
    <w:p w14:paraId="33574EDD">
      <w:pPr>
        <w:pStyle w:val="8"/>
        <w:numPr>
          <w:ilvl w:val="0"/>
          <w:numId w:val="8"/>
        </w:numPr>
        <w:ind w:firstLineChars="0"/>
        <w:rPr>
          <w:rFonts w:hint="eastAsia" w:ascii="宋体" w:hAnsi="宋体" w:eastAsia="宋体"/>
        </w:rPr>
      </w:pPr>
      <w:r>
        <w:rPr>
          <w:rFonts w:ascii="宋体" w:hAnsi="宋体" w:eastAsia="宋体"/>
        </w:rPr>
        <w:t>服务内容</w:t>
      </w:r>
    </w:p>
    <w:p w14:paraId="37794BA7">
      <w:pPr>
        <w:pStyle w:val="8"/>
        <w:numPr>
          <w:ilvl w:val="1"/>
          <w:numId w:val="8"/>
        </w:numPr>
        <w:ind w:firstLineChars="0"/>
        <w:rPr>
          <w:rFonts w:hint="eastAsia" w:ascii="宋体" w:hAnsi="宋体" w:eastAsia="宋体"/>
        </w:rPr>
      </w:pPr>
      <w:r>
        <w:rPr>
          <w:rFonts w:ascii="宋体" w:hAnsi="宋体" w:eastAsia="宋体"/>
        </w:rPr>
        <w:t>机房安全检查：检查机房的物理环境安全，包括温度、湿度、电力供应、防火防盗等设施是否正常运行。</w:t>
      </w:r>
    </w:p>
    <w:p w14:paraId="43581791">
      <w:pPr>
        <w:pStyle w:val="8"/>
        <w:numPr>
          <w:ilvl w:val="1"/>
          <w:numId w:val="8"/>
        </w:numPr>
        <w:ind w:firstLineChars="0"/>
        <w:rPr>
          <w:rFonts w:hint="eastAsia" w:ascii="宋体" w:hAnsi="宋体" w:eastAsia="宋体"/>
        </w:rPr>
      </w:pPr>
      <w:r>
        <w:rPr>
          <w:rFonts w:ascii="宋体" w:hAnsi="宋体" w:eastAsia="宋体"/>
        </w:rPr>
        <w:t>网络设备安全设置检查：对路由器、交换机等网络设备的配置进行检查，确保访问控制策略、端口安全设置等符合安全要求。</w:t>
      </w:r>
    </w:p>
    <w:p w14:paraId="258CDD9C">
      <w:pPr>
        <w:pStyle w:val="8"/>
        <w:numPr>
          <w:ilvl w:val="1"/>
          <w:numId w:val="8"/>
        </w:numPr>
        <w:ind w:firstLineChars="0"/>
        <w:rPr>
          <w:rFonts w:hint="eastAsia" w:ascii="宋体" w:hAnsi="宋体" w:eastAsia="宋体"/>
        </w:rPr>
      </w:pPr>
      <w:r>
        <w:rPr>
          <w:rFonts w:ascii="宋体" w:hAnsi="宋体" w:eastAsia="宋体"/>
        </w:rPr>
        <w:t>网络安全设备安全设置检查：检查防火墙、入侵检测系统（IDS）、入侵防御系统（IPS）等安全设备的规则配置、日志记录等是否正常。</w:t>
      </w:r>
    </w:p>
    <w:p w14:paraId="281E6B89">
      <w:pPr>
        <w:pStyle w:val="8"/>
        <w:numPr>
          <w:ilvl w:val="1"/>
          <w:numId w:val="8"/>
        </w:numPr>
        <w:ind w:firstLineChars="0"/>
        <w:rPr>
          <w:rFonts w:hint="eastAsia" w:ascii="宋体" w:hAnsi="宋体" w:eastAsia="宋体"/>
        </w:rPr>
      </w:pPr>
      <w:r>
        <w:rPr>
          <w:rFonts w:ascii="宋体" w:hAnsi="宋体" w:eastAsia="宋体"/>
        </w:rPr>
        <w:t>网络安全管理制度整改：对现有网络安全管理制度进行完善，确保制度合理可行。组织培训和宣贯活动，建立执行机制，监督制度执行情况，并根据反馈持续改进，确保管理制度的先进性和适用性。</w:t>
      </w:r>
    </w:p>
    <w:p w14:paraId="321033A6">
      <w:pPr>
        <w:pStyle w:val="8"/>
        <w:numPr>
          <w:ilvl w:val="1"/>
          <w:numId w:val="8"/>
        </w:numPr>
        <w:ind w:firstLineChars="0"/>
        <w:rPr>
          <w:rFonts w:hint="eastAsia" w:ascii="宋体" w:hAnsi="宋体" w:eastAsia="宋体"/>
        </w:rPr>
      </w:pPr>
      <w:r>
        <w:rPr>
          <w:rFonts w:ascii="宋体" w:hAnsi="宋体" w:eastAsia="宋体"/>
        </w:rPr>
        <w:t>网络安全管理制度台账整理：整理和更新资产台账、安全事件台账等，确保数据准确、完整，为风险评估和决策制定提供依据。</w:t>
      </w:r>
    </w:p>
    <w:p w14:paraId="329A28B8">
      <w:pPr>
        <w:pStyle w:val="8"/>
        <w:numPr>
          <w:ilvl w:val="0"/>
          <w:numId w:val="8"/>
        </w:numPr>
        <w:ind w:firstLineChars="0"/>
        <w:rPr>
          <w:rFonts w:hint="eastAsia" w:ascii="宋体" w:hAnsi="宋体" w:eastAsia="宋体"/>
        </w:rPr>
      </w:pPr>
      <w:r>
        <w:rPr>
          <w:rFonts w:hint="eastAsia" w:ascii="宋体" w:hAnsi="宋体" w:eastAsia="宋体"/>
        </w:rPr>
        <w:t>服务方式：现场</w:t>
      </w:r>
    </w:p>
    <w:p w14:paraId="5F18E446">
      <w:pPr>
        <w:pStyle w:val="8"/>
        <w:numPr>
          <w:ilvl w:val="0"/>
          <w:numId w:val="8"/>
        </w:numPr>
        <w:ind w:firstLineChars="0"/>
        <w:rPr>
          <w:rFonts w:hint="eastAsia" w:ascii="宋体" w:hAnsi="宋体" w:eastAsia="宋体"/>
        </w:rPr>
      </w:pPr>
      <w:r>
        <w:rPr>
          <w:rFonts w:ascii="宋体" w:hAnsi="宋体" w:eastAsia="宋体"/>
        </w:rPr>
        <w:t xml:space="preserve">服务频次：1 年 </w:t>
      </w:r>
      <w:r>
        <w:rPr>
          <w:rFonts w:hint="eastAsia" w:ascii="宋体" w:hAnsi="宋体" w:eastAsia="宋体"/>
        </w:rPr>
        <w:t>2</w:t>
      </w:r>
      <w:r>
        <w:rPr>
          <w:rFonts w:ascii="宋体" w:hAnsi="宋体" w:eastAsia="宋体"/>
        </w:rPr>
        <w:t xml:space="preserve"> 次（每</w:t>
      </w:r>
      <w:r>
        <w:rPr>
          <w:rFonts w:hint="eastAsia" w:ascii="宋体" w:hAnsi="宋体" w:eastAsia="宋体"/>
        </w:rPr>
        <w:t>半年</w:t>
      </w:r>
      <w:r>
        <w:rPr>
          <w:rFonts w:ascii="宋体" w:hAnsi="宋体" w:eastAsia="宋体"/>
        </w:rPr>
        <w:t>一次）</w:t>
      </w:r>
    </w:p>
    <w:p w14:paraId="58FA2B91">
      <w:pPr>
        <w:pStyle w:val="8"/>
        <w:numPr>
          <w:ilvl w:val="0"/>
          <w:numId w:val="8"/>
        </w:numPr>
        <w:ind w:firstLineChars="0"/>
        <w:rPr>
          <w:rFonts w:hint="eastAsia" w:ascii="宋体" w:hAnsi="宋体" w:eastAsia="宋体"/>
        </w:rPr>
      </w:pPr>
      <w:r>
        <w:rPr>
          <w:rFonts w:ascii="宋体" w:hAnsi="宋体" w:eastAsia="宋体"/>
        </w:rPr>
        <w:t>交付成果：出具书面安全检测报告</w:t>
      </w:r>
    </w:p>
    <w:p w14:paraId="4E35B9F4">
      <w:pPr>
        <w:spacing w:before="380" w:after="140" w:line="288" w:lineRule="auto"/>
        <w:jc w:val="left"/>
        <w:outlineLvl w:val="0"/>
        <w:rPr>
          <w:rFonts w:hint="eastAsia" w:ascii="宋体" w:hAnsi="宋体" w:eastAsia="宋体" w:cs="宋体"/>
        </w:rPr>
      </w:pPr>
      <w:bookmarkStart w:id="8" w:name="heading_8"/>
      <w:r>
        <w:rPr>
          <w:rFonts w:hint="eastAsia" w:ascii="宋体" w:hAnsi="宋体" w:eastAsia="宋体" w:cs="宋体"/>
          <w:b/>
          <w:sz w:val="36"/>
        </w:rPr>
        <w:t>四、部署与报价</w:t>
      </w:r>
      <w:bookmarkEnd w:id="8"/>
    </w:p>
    <w:p w14:paraId="16DCACF9">
      <w:pPr>
        <w:spacing w:before="320" w:after="120" w:line="288" w:lineRule="auto"/>
        <w:jc w:val="left"/>
        <w:outlineLvl w:val="1"/>
        <w:rPr>
          <w:rFonts w:hint="eastAsia" w:ascii="宋体" w:hAnsi="宋体" w:eastAsia="宋体" w:cs="宋体"/>
        </w:rPr>
      </w:pPr>
      <w:bookmarkStart w:id="9" w:name="heading_9"/>
      <w:r>
        <w:rPr>
          <w:rFonts w:hint="eastAsia" w:ascii="宋体" w:hAnsi="宋体" w:eastAsia="宋体" w:cs="宋体"/>
          <w:b/>
          <w:sz w:val="32"/>
        </w:rPr>
        <w:t>（一）</w:t>
      </w:r>
      <w:bookmarkEnd w:id="9"/>
      <w:r>
        <w:rPr>
          <w:rFonts w:hint="eastAsia" w:ascii="宋体" w:hAnsi="宋体" w:eastAsia="宋体" w:cs="宋体"/>
          <w:b/>
          <w:sz w:val="32"/>
        </w:rPr>
        <w:t>产品部署及报价</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5"/>
        <w:gridCol w:w="3315"/>
        <w:gridCol w:w="2070"/>
        <w:gridCol w:w="2070"/>
      </w:tblGrid>
      <w:tr w14:paraId="3ADFFDFD">
        <w:tc>
          <w:tcPr>
            <w:tcW w:w="825" w:type="dxa"/>
            <w:tcMar>
              <w:top w:w="60" w:type="dxa"/>
              <w:left w:w="120" w:type="dxa"/>
              <w:bottom w:w="30" w:type="dxa"/>
              <w:right w:w="120" w:type="dxa"/>
            </w:tcMar>
          </w:tcPr>
          <w:p w14:paraId="31106B80">
            <w:pPr>
              <w:spacing w:before="120" w:after="120" w:line="288" w:lineRule="auto"/>
              <w:jc w:val="left"/>
              <w:rPr>
                <w:rFonts w:hint="eastAsia" w:ascii="宋体" w:hAnsi="宋体" w:eastAsia="宋体" w:cs="宋体"/>
              </w:rPr>
            </w:pPr>
            <w:r>
              <w:rPr>
                <w:rFonts w:hint="eastAsia" w:ascii="宋体" w:hAnsi="宋体" w:eastAsia="宋体" w:cs="宋体"/>
                <w:sz w:val="22"/>
              </w:rPr>
              <w:t>序号</w:t>
            </w:r>
          </w:p>
        </w:tc>
        <w:tc>
          <w:tcPr>
            <w:tcW w:w="3315" w:type="dxa"/>
            <w:tcMar>
              <w:top w:w="60" w:type="dxa"/>
              <w:left w:w="120" w:type="dxa"/>
              <w:bottom w:w="30" w:type="dxa"/>
              <w:right w:w="120" w:type="dxa"/>
            </w:tcMar>
          </w:tcPr>
          <w:p w14:paraId="0B72D4EE">
            <w:pPr>
              <w:spacing w:before="120" w:after="120" w:line="288" w:lineRule="auto"/>
              <w:jc w:val="left"/>
              <w:rPr>
                <w:rFonts w:hint="eastAsia" w:ascii="宋体" w:hAnsi="宋体" w:eastAsia="宋体" w:cs="宋体"/>
              </w:rPr>
            </w:pPr>
            <w:r>
              <w:rPr>
                <w:rFonts w:hint="eastAsia" w:ascii="宋体" w:hAnsi="宋体" w:eastAsia="宋体" w:cs="宋体"/>
                <w:sz w:val="22"/>
              </w:rPr>
              <w:t>产品名称</w:t>
            </w:r>
          </w:p>
        </w:tc>
        <w:tc>
          <w:tcPr>
            <w:tcW w:w="2070" w:type="dxa"/>
            <w:tcMar>
              <w:top w:w="60" w:type="dxa"/>
              <w:left w:w="120" w:type="dxa"/>
              <w:bottom w:w="30" w:type="dxa"/>
              <w:right w:w="120" w:type="dxa"/>
            </w:tcMar>
          </w:tcPr>
          <w:p w14:paraId="25B06B71">
            <w:pPr>
              <w:spacing w:before="120" w:after="120" w:line="288" w:lineRule="auto"/>
              <w:jc w:val="left"/>
              <w:rPr>
                <w:rFonts w:hint="eastAsia" w:ascii="宋体" w:hAnsi="宋体" w:eastAsia="宋体" w:cs="宋体"/>
              </w:rPr>
            </w:pPr>
            <w:r>
              <w:rPr>
                <w:rFonts w:hint="eastAsia" w:ascii="宋体" w:hAnsi="宋体" w:eastAsia="宋体" w:cs="宋体"/>
                <w:sz w:val="22"/>
              </w:rPr>
              <w:t>部署范围</w:t>
            </w:r>
          </w:p>
        </w:tc>
        <w:tc>
          <w:tcPr>
            <w:tcW w:w="2070" w:type="dxa"/>
            <w:tcMar>
              <w:top w:w="60" w:type="dxa"/>
              <w:left w:w="120" w:type="dxa"/>
              <w:bottom w:w="30" w:type="dxa"/>
              <w:right w:w="120" w:type="dxa"/>
            </w:tcMar>
          </w:tcPr>
          <w:p w14:paraId="3332C046">
            <w:pPr>
              <w:spacing w:before="120" w:after="120" w:line="288" w:lineRule="auto"/>
              <w:jc w:val="center"/>
              <w:rPr>
                <w:rFonts w:hint="eastAsia" w:ascii="宋体" w:hAnsi="宋体" w:eastAsia="宋体" w:cs="宋体"/>
              </w:rPr>
            </w:pPr>
            <w:r>
              <w:rPr>
                <w:rFonts w:hint="eastAsia" w:ascii="宋体" w:hAnsi="宋体" w:eastAsia="宋体" w:cs="宋体"/>
                <w:sz w:val="22"/>
              </w:rPr>
              <w:t>部署周期</w:t>
            </w:r>
          </w:p>
        </w:tc>
      </w:tr>
      <w:tr w14:paraId="141146AB">
        <w:tc>
          <w:tcPr>
            <w:tcW w:w="825" w:type="dxa"/>
            <w:tcMar>
              <w:top w:w="60" w:type="dxa"/>
              <w:left w:w="120" w:type="dxa"/>
              <w:bottom w:w="30" w:type="dxa"/>
              <w:right w:w="120" w:type="dxa"/>
            </w:tcMar>
          </w:tcPr>
          <w:p w14:paraId="50990C91">
            <w:pPr>
              <w:spacing w:before="120" w:after="120" w:line="288" w:lineRule="auto"/>
              <w:jc w:val="center"/>
              <w:rPr>
                <w:rFonts w:hint="eastAsia" w:ascii="宋体" w:hAnsi="宋体" w:eastAsia="宋体" w:cs="宋体"/>
              </w:rPr>
            </w:pPr>
            <w:r>
              <w:rPr>
                <w:rFonts w:hint="eastAsia" w:ascii="宋体" w:hAnsi="宋体" w:eastAsia="宋体" w:cs="宋体"/>
                <w:sz w:val="22"/>
              </w:rPr>
              <w:t>1</w:t>
            </w:r>
          </w:p>
        </w:tc>
        <w:tc>
          <w:tcPr>
            <w:tcW w:w="3315" w:type="dxa"/>
            <w:tcMar>
              <w:top w:w="60" w:type="dxa"/>
              <w:left w:w="120" w:type="dxa"/>
              <w:bottom w:w="30" w:type="dxa"/>
              <w:right w:w="120" w:type="dxa"/>
            </w:tcMar>
          </w:tcPr>
          <w:p w14:paraId="2974C8B9">
            <w:pPr>
              <w:spacing w:before="120" w:after="120" w:line="288" w:lineRule="auto"/>
              <w:jc w:val="center"/>
              <w:rPr>
                <w:rFonts w:hint="eastAsia" w:ascii="宋体" w:hAnsi="宋体" w:eastAsia="宋体" w:cs="宋体"/>
              </w:rPr>
            </w:pPr>
            <w:r>
              <w:rPr>
                <w:rFonts w:hint="eastAsia" w:ascii="宋体" w:hAnsi="宋体" w:eastAsia="宋体" w:cs="宋体"/>
                <w:sz w:val="22"/>
              </w:rPr>
              <w:t>天翼安全大脑</w:t>
            </w:r>
          </w:p>
        </w:tc>
        <w:tc>
          <w:tcPr>
            <w:tcW w:w="2070" w:type="dxa"/>
            <w:tcMar>
              <w:top w:w="60" w:type="dxa"/>
              <w:left w:w="120" w:type="dxa"/>
              <w:bottom w:w="30" w:type="dxa"/>
              <w:right w:w="120" w:type="dxa"/>
            </w:tcMar>
          </w:tcPr>
          <w:p w14:paraId="764A1992">
            <w:pPr>
              <w:spacing w:before="120" w:after="120" w:line="288" w:lineRule="auto"/>
              <w:jc w:val="center"/>
              <w:rPr>
                <w:rFonts w:hint="eastAsia" w:ascii="宋体" w:hAnsi="宋体" w:eastAsia="宋体" w:cs="宋体"/>
              </w:rPr>
            </w:pPr>
            <w:r>
              <w:rPr>
                <w:rFonts w:hint="eastAsia" w:ascii="宋体" w:hAnsi="宋体" w:eastAsia="宋体" w:cs="宋体"/>
                <w:sz w:val="22"/>
              </w:rPr>
              <w:t>网络出口边界</w:t>
            </w:r>
          </w:p>
        </w:tc>
        <w:tc>
          <w:tcPr>
            <w:tcW w:w="2070" w:type="dxa"/>
            <w:tcMar>
              <w:top w:w="60" w:type="dxa"/>
              <w:left w:w="120" w:type="dxa"/>
              <w:bottom w:w="30" w:type="dxa"/>
              <w:right w:w="120" w:type="dxa"/>
            </w:tcMar>
          </w:tcPr>
          <w:p w14:paraId="3CD77238">
            <w:pPr>
              <w:spacing w:before="120" w:after="120" w:line="288" w:lineRule="auto"/>
              <w:jc w:val="center"/>
              <w:rPr>
                <w:rFonts w:hint="eastAsia" w:ascii="宋体" w:hAnsi="宋体" w:eastAsia="宋体" w:cs="宋体"/>
              </w:rPr>
            </w:pPr>
            <w:r>
              <w:rPr>
                <w:rFonts w:hint="eastAsia" w:ascii="宋体" w:hAnsi="宋体" w:eastAsia="宋体" w:cs="宋体"/>
                <w:sz w:val="22"/>
              </w:rPr>
              <w:t>1-3个工作日</w:t>
            </w:r>
          </w:p>
        </w:tc>
      </w:tr>
      <w:tr w14:paraId="28DC2425">
        <w:tc>
          <w:tcPr>
            <w:tcW w:w="825" w:type="dxa"/>
            <w:tcMar>
              <w:top w:w="60" w:type="dxa"/>
              <w:left w:w="120" w:type="dxa"/>
              <w:bottom w:w="30" w:type="dxa"/>
              <w:right w:w="120" w:type="dxa"/>
            </w:tcMar>
          </w:tcPr>
          <w:p w14:paraId="6EDAF108">
            <w:pPr>
              <w:spacing w:before="120" w:after="120" w:line="288" w:lineRule="auto"/>
              <w:jc w:val="center"/>
              <w:rPr>
                <w:rFonts w:hint="eastAsia" w:ascii="宋体" w:hAnsi="宋体" w:eastAsia="宋体" w:cs="宋体"/>
              </w:rPr>
            </w:pPr>
            <w:r>
              <w:rPr>
                <w:rFonts w:hint="eastAsia" w:ascii="宋体" w:hAnsi="宋体" w:eastAsia="宋体" w:cs="宋体"/>
                <w:sz w:val="22"/>
              </w:rPr>
              <w:t>2</w:t>
            </w:r>
          </w:p>
        </w:tc>
        <w:tc>
          <w:tcPr>
            <w:tcW w:w="3315" w:type="dxa"/>
            <w:tcMar>
              <w:top w:w="60" w:type="dxa"/>
              <w:left w:w="120" w:type="dxa"/>
              <w:bottom w:w="30" w:type="dxa"/>
              <w:right w:w="120" w:type="dxa"/>
            </w:tcMar>
          </w:tcPr>
          <w:p w14:paraId="0391BE9A">
            <w:pPr>
              <w:spacing w:before="120" w:after="120" w:line="288" w:lineRule="auto"/>
              <w:jc w:val="center"/>
              <w:rPr>
                <w:rFonts w:hint="eastAsia" w:ascii="宋体" w:hAnsi="宋体" w:eastAsia="宋体" w:cs="宋体"/>
              </w:rPr>
            </w:pPr>
            <w:r>
              <w:rPr>
                <w:rFonts w:hint="eastAsia" w:ascii="宋体" w:hAnsi="宋体" w:eastAsia="宋体" w:cs="宋体"/>
                <w:sz w:val="22"/>
              </w:rPr>
              <w:t>云脉（SASE）</w:t>
            </w:r>
          </w:p>
        </w:tc>
        <w:tc>
          <w:tcPr>
            <w:tcW w:w="2070" w:type="dxa"/>
            <w:tcMar>
              <w:top w:w="60" w:type="dxa"/>
              <w:left w:w="120" w:type="dxa"/>
              <w:bottom w:w="30" w:type="dxa"/>
              <w:right w:w="120" w:type="dxa"/>
            </w:tcMar>
          </w:tcPr>
          <w:p w14:paraId="5E92FF87">
            <w:pPr>
              <w:spacing w:before="120" w:after="120" w:line="288" w:lineRule="auto"/>
              <w:jc w:val="center"/>
              <w:rPr>
                <w:rFonts w:hint="eastAsia" w:ascii="宋体" w:hAnsi="宋体" w:eastAsia="宋体" w:cs="宋体"/>
              </w:rPr>
            </w:pPr>
            <w:r>
              <w:rPr>
                <w:rFonts w:hint="eastAsia" w:ascii="宋体" w:hAnsi="宋体" w:eastAsia="宋体" w:cs="宋体"/>
                <w:sz w:val="22"/>
              </w:rPr>
              <w:t>电脑 + OA等业务系统访问入口改造</w:t>
            </w:r>
          </w:p>
        </w:tc>
        <w:tc>
          <w:tcPr>
            <w:tcW w:w="2070" w:type="dxa"/>
            <w:tcMar>
              <w:top w:w="60" w:type="dxa"/>
              <w:left w:w="120" w:type="dxa"/>
              <w:bottom w:w="30" w:type="dxa"/>
              <w:right w:w="120" w:type="dxa"/>
            </w:tcMar>
          </w:tcPr>
          <w:p w14:paraId="3C8B35C3">
            <w:pPr>
              <w:spacing w:before="120" w:after="120" w:line="288" w:lineRule="auto"/>
              <w:jc w:val="center"/>
              <w:rPr>
                <w:rFonts w:hint="eastAsia" w:ascii="宋体" w:hAnsi="宋体" w:eastAsia="宋体" w:cs="宋体"/>
              </w:rPr>
            </w:pPr>
            <w:r>
              <w:rPr>
                <w:rFonts w:hint="eastAsia" w:ascii="宋体" w:hAnsi="宋体" w:eastAsia="宋体" w:cs="宋体"/>
                <w:sz w:val="22"/>
              </w:rPr>
              <w:t>即时开通，业务切换平滑</w:t>
            </w:r>
          </w:p>
        </w:tc>
      </w:tr>
      <w:tr w14:paraId="1BC62EF1">
        <w:tc>
          <w:tcPr>
            <w:tcW w:w="825" w:type="dxa"/>
            <w:tcMar>
              <w:top w:w="60" w:type="dxa"/>
              <w:left w:w="120" w:type="dxa"/>
              <w:bottom w:w="30" w:type="dxa"/>
              <w:right w:w="120" w:type="dxa"/>
            </w:tcMar>
          </w:tcPr>
          <w:p w14:paraId="05D0C279">
            <w:pPr>
              <w:spacing w:before="120" w:after="120" w:line="288" w:lineRule="auto"/>
              <w:jc w:val="center"/>
              <w:rPr>
                <w:rFonts w:hint="eastAsia" w:ascii="宋体" w:hAnsi="宋体" w:eastAsia="宋体" w:cs="宋体"/>
              </w:rPr>
            </w:pPr>
            <w:r>
              <w:rPr>
                <w:rFonts w:hint="eastAsia" w:ascii="宋体" w:hAnsi="宋体" w:eastAsia="宋体" w:cs="宋体"/>
                <w:sz w:val="22"/>
              </w:rPr>
              <w:t>3</w:t>
            </w:r>
          </w:p>
        </w:tc>
        <w:tc>
          <w:tcPr>
            <w:tcW w:w="3315" w:type="dxa"/>
            <w:tcMar>
              <w:top w:w="60" w:type="dxa"/>
              <w:left w:w="120" w:type="dxa"/>
              <w:bottom w:w="30" w:type="dxa"/>
              <w:right w:w="120" w:type="dxa"/>
            </w:tcMar>
          </w:tcPr>
          <w:p w14:paraId="3AD5B279">
            <w:pPr>
              <w:spacing w:before="120" w:after="120" w:line="288" w:lineRule="auto"/>
              <w:jc w:val="center"/>
              <w:rPr>
                <w:rFonts w:hint="eastAsia" w:ascii="宋体" w:hAnsi="宋体" w:eastAsia="宋体" w:cs="宋体"/>
              </w:rPr>
            </w:pPr>
            <w:r>
              <w:rPr>
                <w:rFonts w:hint="eastAsia" w:ascii="宋体" w:hAnsi="宋体" w:eastAsia="宋体" w:cs="宋体"/>
                <w:sz w:val="22"/>
              </w:rPr>
              <w:t>云镜（服务器版）</w:t>
            </w:r>
          </w:p>
        </w:tc>
        <w:tc>
          <w:tcPr>
            <w:tcW w:w="2070" w:type="dxa"/>
            <w:tcMar>
              <w:top w:w="60" w:type="dxa"/>
              <w:left w:w="120" w:type="dxa"/>
              <w:bottom w:w="30" w:type="dxa"/>
              <w:right w:w="120" w:type="dxa"/>
            </w:tcMar>
          </w:tcPr>
          <w:p w14:paraId="3CEFE56C">
            <w:pPr>
              <w:spacing w:before="120" w:after="120" w:line="288" w:lineRule="auto"/>
              <w:jc w:val="center"/>
              <w:rPr>
                <w:rFonts w:hint="eastAsia" w:ascii="宋体" w:hAnsi="宋体" w:eastAsia="宋体" w:cs="宋体"/>
              </w:rPr>
            </w:pPr>
            <w:r>
              <w:rPr>
                <w:rFonts w:hint="eastAsia" w:ascii="宋体" w:hAnsi="宋体" w:eastAsia="宋体" w:cs="宋体"/>
                <w:sz w:val="22"/>
              </w:rPr>
              <w:t>全部服务器</w:t>
            </w:r>
          </w:p>
        </w:tc>
        <w:tc>
          <w:tcPr>
            <w:tcW w:w="2070" w:type="dxa"/>
            <w:tcMar>
              <w:top w:w="60" w:type="dxa"/>
              <w:left w:w="120" w:type="dxa"/>
              <w:bottom w:w="30" w:type="dxa"/>
              <w:right w:w="120" w:type="dxa"/>
            </w:tcMar>
          </w:tcPr>
          <w:p w14:paraId="0469EEF0">
            <w:pPr>
              <w:spacing w:before="120" w:after="120" w:line="288" w:lineRule="auto"/>
              <w:jc w:val="center"/>
              <w:rPr>
                <w:rFonts w:hint="eastAsia" w:ascii="宋体" w:hAnsi="宋体" w:eastAsia="宋体" w:cs="宋体"/>
              </w:rPr>
            </w:pPr>
            <w:r>
              <w:rPr>
                <w:rFonts w:hint="eastAsia" w:ascii="宋体" w:hAnsi="宋体" w:eastAsia="宋体" w:cs="宋体"/>
                <w:sz w:val="22"/>
              </w:rPr>
              <w:t>即时开通</w:t>
            </w:r>
          </w:p>
        </w:tc>
      </w:tr>
      <w:tr w14:paraId="2DDF6A8E">
        <w:tc>
          <w:tcPr>
            <w:tcW w:w="825" w:type="dxa"/>
            <w:tcMar>
              <w:top w:w="60" w:type="dxa"/>
              <w:left w:w="120" w:type="dxa"/>
              <w:bottom w:w="30" w:type="dxa"/>
              <w:right w:w="120" w:type="dxa"/>
            </w:tcMar>
          </w:tcPr>
          <w:p w14:paraId="55EE7663">
            <w:pPr>
              <w:spacing w:before="120" w:after="120" w:line="288" w:lineRule="auto"/>
              <w:jc w:val="center"/>
              <w:rPr>
                <w:rFonts w:hint="eastAsia" w:ascii="宋体" w:hAnsi="宋体" w:eastAsia="宋体" w:cs="宋体"/>
              </w:rPr>
            </w:pPr>
            <w:r>
              <w:rPr>
                <w:rFonts w:hint="eastAsia" w:ascii="宋体" w:hAnsi="宋体" w:eastAsia="宋体" w:cs="宋体"/>
                <w:sz w:val="22"/>
              </w:rPr>
              <w:t>4</w:t>
            </w:r>
          </w:p>
        </w:tc>
        <w:tc>
          <w:tcPr>
            <w:tcW w:w="3315" w:type="dxa"/>
            <w:tcMar>
              <w:top w:w="60" w:type="dxa"/>
              <w:left w:w="120" w:type="dxa"/>
              <w:bottom w:w="30" w:type="dxa"/>
              <w:right w:w="120" w:type="dxa"/>
            </w:tcMar>
          </w:tcPr>
          <w:p w14:paraId="502894F8">
            <w:pPr>
              <w:spacing w:before="120" w:after="120" w:line="288" w:lineRule="auto"/>
              <w:jc w:val="center"/>
              <w:rPr>
                <w:rFonts w:hint="eastAsia" w:ascii="宋体" w:hAnsi="宋体" w:eastAsia="宋体" w:cs="宋体"/>
              </w:rPr>
            </w:pPr>
            <w:r>
              <w:rPr>
                <w:rFonts w:hint="eastAsia" w:ascii="宋体" w:hAnsi="宋体" w:eastAsia="宋体" w:cs="宋体"/>
                <w:sz w:val="22"/>
              </w:rPr>
              <w:t>安全运营（MSSP）</w:t>
            </w:r>
          </w:p>
        </w:tc>
        <w:tc>
          <w:tcPr>
            <w:tcW w:w="2070" w:type="dxa"/>
            <w:tcMar>
              <w:top w:w="60" w:type="dxa"/>
              <w:left w:w="120" w:type="dxa"/>
              <w:bottom w:w="30" w:type="dxa"/>
              <w:right w:w="120" w:type="dxa"/>
            </w:tcMar>
          </w:tcPr>
          <w:p w14:paraId="5B3FAF06">
            <w:pPr>
              <w:spacing w:before="120" w:after="120" w:line="288" w:lineRule="auto"/>
              <w:jc w:val="center"/>
              <w:rPr>
                <w:rFonts w:hint="eastAsia" w:ascii="宋体" w:hAnsi="宋体" w:eastAsia="宋体" w:cs="宋体"/>
              </w:rPr>
            </w:pPr>
            <w:r>
              <w:rPr>
                <w:rFonts w:hint="eastAsia" w:ascii="宋体" w:hAnsi="宋体" w:eastAsia="宋体" w:cs="宋体"/>
                <w:sz w:val="22"/>
              </w:rPr>
              <w:t>7×24h持续运营</w:t>
            </w:r>
          </w:p>
        </w:tc>
        <w:tc>
          <w:tcPr>
            <w:tcW w:w="2070" w:type="dxa"/>
            <w:tcMar>
              <w:top w:w="60" w:type="dxa"/>
              <w:left w:w="120" w:type="dxa"/>
              <w:bottom w:w="30" w:type="dxa"/>
              <w:right w:w="120" w:type="dxa"/>
            </w:tcMar>
          </w:tcPr>
          <w:p w14:paraId="4D613691">
            <w:pPr>
              <w:spacing w:before="120" w:after="120" w:line="288" w:lineRule="auto"/>
              <w:jc w:val="center"/>
              <w:rPr>
                <w:rFonts w:hint="eastAsia" w:ascii="宋体" w:hAnsi="宋体" w:eastAsia="宋体" w:cs="宋体"/>
              </w:rPr>
            </w:pPr>
            <w:r>
              <w:rPr>
                <w:rFonts w:hint="eastAsia" w:ascii="宋体" w:hAnsi="宋体" w:eastAsia="宋体" w:cs="宋体"/>
                <w:sz w:val="22"/>
              </w:rPr>
              <w:t>即时开通</w:t>
            </w:r>
          </w:p>
        </w:tc>
      </w:tr>
      <w:tr w14:paraId="02AAADDD">
        <w:tc>
          <w:tcPr>
            <w:tcW w:w="825" w:type="dxa"/>
            <w:tcMar>
              <w:top w:w="60" w:type="dxa"/>
              <w:left w:w="120" w:type="dxa"/>
              <w:bottom w:w="30" w:type="dxa"/>
              <w:right w:w="120" w:type="dxa"/>
            </w:tcMar>
          </w:tcPr>
          <w:p w14:paraId="6D31DE12">
            <w:pPr>
              <w:spacing w:before="120" w:after="120" w:line="288" w:lineRule="auto"/>
              <w:jc w:val="center"/>
              <w:rPr>
                <w:rFonts w:hint="eastAsia" w:ascii="宋体" w:hAnsi="宋体" w:eastAsia="宋体" w:cs="宋体"/>
              </w:rPr>
            </w:pPr>
            <w:r>
              <w:rPr>
                <w:rFonts w:hint="eastAsia" w:ascii="宋体" w:hAnsi="宋体" w:eastAsia="宋体" w:cs="宋体"/>
                <w:sz w:val="22"/>
              </w:rPr>
              <w:t>5</w:t>
            </w:r>
          </w:p>
        </w:tc>
        <w:tc>
          <w:tcPr>
            <w:tcW w:w="3315" w:type="dxa"/>
            <w:tcMar>
              <w:top w:w="60" w:type="dxa"/>
              <w:left w:w="120" w:type="dxa"/>
              <w:bottom w:w="30" w:type="dxa"/>
              <w:right w:w="120" w:type="dxa"/>
            </w:tcMar>
          </w:tcPr>
          <w:p w14:paraId="422FAEA5">
            <w:pPr>
              <w:spacing w:before="120" w:after="120" w:line="288" w:lineRule="auto"/>
              <w:jc w:val="center"/>
              <w:rPr>
                <w:rFonts w:hint="eastAsia" w:ascii="宋体" w:hAnsi="宋体" w:eastAsia="宋体" w:cs="宋体"/>
              </w:rPr>
            </w:pPr>
            <w:r>
              <w:rPr>
                <w:rFonts w:hint="eastAsia" w:ascii="宋体" w:hAnsi="宋体" w:eastAsia="宋体" w:cs="宋体"/>
                <w:sz w:val="22"/>
              </w:rPr>
              <w:t>网站安全专家（可选）</w:t>
            </w:r>
          </w:p>
        </w:tc>
        <w:tc>
          <w:tcPr>
            <w:tcW w:w="2070" w:type="dxa"/>
            <w:tcMar>
              <w:top w:w="60" w:type="dxa"/>
              <w:left w:w="120" w:type="dxa"/>
              <w:bottom w:w="30" w:type="dxa"/>
              <w:right w:w="120" w:type="dxa"/>
            </w:tcMar>
          </w:tcPr>
          <w:p w14:paraId="429FE374">
            <w:pPr>
              <w:spacing w:before="120" w:after="120" w:line="288" w:lineRule="auto"/>
              <w:jc w:val="center"/>
              <w:rPr>
                <w:rFonts w:hint="eastAsia" w:ascii="宋体" w:hAnsi="宋体" w:eastAsia="宋体" w:cs="宋体"/>
              </w:rPr>
            </w:pPr>
            <w:r>
              <w:rPr>
                <w:rFonts w:hint="eastAsia" w:ascii="宋体" w:hAnsi="宋体" w:eastAsia="宋体" w:cs="宋体"/>
                <w:sz w:val="22"/>
              </w:rPr>
              <w:t>对外Web业务系统</w:t>
            </w:r>
          </w:p>
        </w:tc>
        <w:tc>
          <w:tcPr>
            <w:tcW w:w="2070" w:type="dxa"/>
            <w:tcMar>
              <w:top w:w="60" w:type="dxa"/>
              <w:left w:w="120" w:type="dxa"/>
              <w:bottom w:w="30" w:type="dxa"/>
              <w:right w:w="120" w:type="dxa"/>
            </w:tcMar>
          </w:tcPr>
          <w:p w14:paraId="21938387">
            <w:pPr>
              <w:spacing w:before="120" w:after="120" w:line="288" w:lineRule="auto"/>
              <w:jc w:val="center"/>
              <w:rPr>
                <w:rFonts w:hint="eastAsia" w:ascii="宋体" w:hAnsi="宋体" w:eastAsia="宋体" w:cs="宋体"/>
              </w:rPr>
            </w:pPr>
            <w:r>
              <w:rPr>
                <w:rFonts w:hint="eastAsia" w:ascii="宋体" w:hAnsi="宋体" w:eastAsia="宋体" w:cs="宋体"/>
                <w:sz w:val="22"/>
              </w:rPr>
              <w:t>即时开通</w:t>
            </w:r>
          </w:p>
        </w:tc>
      </w:tr>
      <w:tr w14:paraId="6B206ACD">
        <w:tc>
          <w:tcPr>
            <w:tcW w:w="825" w:type="dxa"/>
            <w:tcMar>
              <w:top w:w="60" w:type="dxa"/>
              <w:left w:w="120" w:type="dxa"/>
              <w:bottom w:w="30" w:type="dxa"/>
              <w:right w:w="120" w:type="dxa"/>
            </w:tcMar>
          </w:tcPr>
          <w:p w14:paraId="441A7DD5">
            <w:pPr>
              <w:spacing w:before="120" w:after="120" w:line="288" w:lineRule="auto"/>
              <w:jc w:val="center"/>
              <w:rPr>
                <w:rFonts w:hint="eastAsia" w:ascii="宋体" w:hAnsi="宋体" w:eastAsia="宋体" w:cs="宋体"/>
                <w:sz w:val="22"/>
              </w:rPr>
            </w:pPr>
            <w:r>
              <w:rPr>
                <w:rFonts w:hint="eastAsia" w:ascii="宋体" w:hAnsi="宋体" w:eastAsia="宋体" w:cs="宋体"/>
                <w:sz w:val="22"/>
              </w:rPr>
              <w:t>6</w:t>
            </w:r>
          </w:p>
        </w:tc>
        <w:tc>
          <w:tcPr>
            <w:tcW w:w="3315" w:type="dxa"/>
            <w:tcMar>
              <w:top w:w="60" w:type="dxa"/>
              <w:left w:w="120" w:type="dxa"/>
              <w:bottom w:w="30" w:type="dxa"/>
              <w:right w:w="120" w:type="dxa"/>
            </w:tcMar>
          </w:tcPr>
          <w:p w14:paraId="475A3137">
            <w:pPr>
              <w:spacing w:before="120" w:after="120" w:line="288" w:lineRule="auto"/>
              <w:jc w:val="center"/>
              <w:rPr>
                <w:rFonts w:hint="eastAsia" w:ascii="宋体" w:hAnsi="宋体" w:eastAsia="宋体" w:cs="宋体"/>
                <w:sz w:val="22"/>
              </w:rPr>
            </w:pPr>
            <w:r>
              <w:rPr>
                <w:rFonts w:hint="eastAsia" w:ascii="宋体" w:hAnsi="宋体" w:eastAsia="宋体" w:cs="宋体"/>
                <w:sz w:val="22"/>
              </w:rPr>
              <w:t>云剑安服</w:t>
            </w:r>
          </w:p>
        </w:tc>
        <w:tc>
          <w:tcPr>
            <w:tcW w:w="2070" w:type="dxa"/>
            <w:tcMar>
              <w:top w:w="60" w:type="dxa"/>
              <w:left w:w="120" w:type="dxa"/>
              <w:bottom w:w="30" w:type="dxa"/>
              <w:right w:w="120" w:type="dxa"/>
            </w:tcMar>
          </w:tcPr>
          <w:p w14:paraId="6A1EE6D7">
            <w:pPr>
              <w:spacing w:before="120" w:after="120" w:line="288" w:lineRule="auto"/>
              <w:jc w:val="center"/>
              <w:rPr>
                <w:rFonts w:hint="eastAsia" w:ascii="宋体" w:hAnsi="宋体" w:eastAsia="宋体" w:cs="宋体"/>
                <w:sz w:val="22"/>
              </w:rPr>
            </w:pPr>
            <w:r>
              <w:rPr>
                <w:rFonts w:hint="eastAsia" w:ascii="宋体" w:hAnsi="宋体" w:eastAsia="宋体" w:cs="宋体"/>
                <w:sz w:val="22"/>
              </w:rPr>
              <w:t>现场+远程服务</w:t>
            </w:r>
          </w:p>
        </w:tc>
        <w:tc>
          <w:tcPr>
            <w:tcW w:w="2070" w:type="dxa"/>
            <w:tcMar>
              <w:top w:w="60" w:type="dxa"/>
              <w:left w:w="120" w:type="dxa"/>
              <w:bottom w:w="30" w:type="dxa"/>
              <w:right w:w="120" w:type="dxa"/>
            </w:tcMar>
          </w:tcPr>
          <w:p w14:paraId="3E8ABA78">
            <w:pPr>
              <w:spacing w:before="120" w:after="120" w:line="288" w:lineRule="auto"/>
              <w:jc w:val="center"/>
              <w:rPr>
                <w:rFonts w:hint="eastAsia" w:ascii="宋体" w:hAnsi="宋体" w:eastAsia="宋体" w:cs="宋体"/>
                <w:sz w:val="22"/>
              </w:rPr>
            </w:pPr>
            <w:r>
              <w:rPr>
                <w:rFonts w:hint="eastAsia" w:ascii="宋体" w:hAnsi="宋体" w:eastAsia="宋体" w:cs="宋体"/>
                <w:sz w:val="22"/>
              </w:rPr>
              <w:t>按频次提供</w:t>
            </w:r>
          </w:p>
        </w:tc>
      </w:tr>
    </w:tbl>
    <w:p w14:paraId="7EF088CE">
      <w:pPr>
        <w:spacing w:before="320" w:after="120" w:line="288" w:lineRule="auto"/>
        <w:jc w:val="left"/>
        <w:outlineLvl w:val="1"/>
        <w:rPr>
          <w:rFonts w:hint="eastAsia" w:ascii="宋体" w:hAnsi="宋体" w:eastAsia="宋体" w:cs="宋体"/>
        </w:rPr>
      </w:pPr>
      <w:bookmarkStart w:id="10" w:name="heading_10"/>
      <w:r>
        <w:rPr>
          <w:rFonts w:hint="eastAsia" w:ascii="宋体" w:hAnsi="宋体" w:eastAsia="宋体" w:cs="宋体"/>
          <w:b/>
          <w:sz w:val="32"/>
        </w:rPr>
        <w:t>（二）报价</w:t>
      </w:r>
      <w:bookmarkEnd w:id="10"/>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44"/>
        <w:gridCol w:w="2878"/>
        <w:gridCol w:w="2588"/>
        <w:gridCol w:w="2070"/>
      </w:tblGrid>
      <w:tr w14:paraId="68DDAB1F">
        <w:tc>
          <w:tcPr>
            <w:tcW w:w="744" w:type="dxa"/>
            <w:tcMar>
              <w:top w:w="60" w:type="dxa"/>
              <w:left w:w="120" w:type="dxa"/>
              <w:bottom w:w="30" w:type="dxa"/>
              <w:right w:w="120" w:type="dxa"/>
            </w:tcMar>
          </w:tcPr>
          <w:p w14:paraId="3DFD780E">
            <w:pPr>
              <w:spacing w:before="120" w:after="120" w:line="288" w:lineRule="auto"/>
              <w:jc w:val="center"/>
              <w:rPr>
                <w:rFonts w:hint="eastAsia" w:ascii="宋体" w:hAnsi="宋体" w:eastAsia="宋体" w:cs="宋体"/>
              </w:rPr>
            </w:pPr>
            <w:r>
              <w:rPr>
                <w:rFonts w:hint="eastAsia" w:ascii="宋体" w:hAnsi="宋体" w:eastAsia="宋体" w:cs="宋体"/>
                <w:sz w:val="22"/>
              </w:rPr>
              <w:t>序号</w:t>
            </w:r>
          </w:p>
        </w:tc>
        <w:tc>
          <w:tcPr>
            <w:tcW w:w="2878" w:type="dxa"/>
            <w:tcMar>
              <w:top w:w="60" w:type="dxa"/>
              <w:left w:w="120" w:type="dxa"/>
              <w:bottom w:w="30" w:type="dxa"/>
              <w:right w:w="120" w:type="dxa"/>
            </w:tcMar>
          </w:tcPr>
          <w:p w14:paraId="0842C25D">
            <w:pPr>
              <w:spacing w:before="120" w:after="120" w:line="288" w:lineRule="auto"/>
              <w:jc w:val="center"/>
              <w:rPr>
                <w:rFonts w:hint="eastAsia" w:ascii="宋体" w:hAnsi="宋体" w:eastAsia="宋体" w:cs="宋体"/>
              </w:rPr>
            </w:pPr>
            <w:r>
              <w:rPr>
                <w:rFonts w:hint="eastAsia" w:ascii="宋体" w:hAnsi="宋体" w:eastAsia="宋体" w:cs="宋体"/>
                <w:sz w:val="22"/>
              </w:rPr>
              <w:t>产品/服务名称</w:t>
            </w:r>
          </w:p>
        </w:tc>
        <w:tc>
          <w:tcPr>
            <w:tcW w:w="2588" w:type="dxa"/>
            <w:tcMar>
              <w:top w:w="60" w:type="dxa"/>
              <w:left w:w="120" w:type="dxa"/>
              <w:bottom w:w="30" w:type="dxa"/>
              <w:right w:w="120" w:type="dxa"/>
            </w:tcMar>
          </w:tcPr>
          <w:p w14:paraId="7883CC36">
            <w:pPr>
              <w:spacing w:before="120" w:after="120" w:line="288" w:lineRule="auto"/>
              <w:jc w:val="center"/>
              <w:rPr>
                <w:rFonts w:hint="eastAsia" w:ascii="宋体" w:hAnsi="宋体" w:eastAsia="宋体" w:cs="宋体"/>
              </w:rPr>
            </w:pPr>
            <w:r>
              <w:rPr>
                <w:rFonts w:hint="eastAsia" w:ascii="宋体" w:hAnsi="宋体" w:eastAsia="宋体" w:cs="宋体"/>
                <w:sz w:val="22"/>
              </w:rPr>
              <w:t>产品规格</w:t>
            </w:r>
          </w:p>
        </w:tc>
        <w:tc>
          <w:tcPr>
            <w:tcW w:w="2070" w:type="dxa"/>
            <w:tcMar>
              <w:top w:w="60" w:type="dxa"/>
              <w:left w:w="120" w:type="dxa"/>
              <w:bottom w:w="30" w:type="dxa"/>
              <w:right w:w="120" w:type="dxa"/>
            </w:tcMar>
          </w:tcPr>
          <w:p w14:paraId="358E72BD">
            <w:pPr>
              <w:spacing w:before="120" w:after="120" w:line="288" w:lineRule="auto"/>
              <w:jc w:val="center"/>
              <w:rPr>
                <w:rFonts w:hint="eastAsia" w:ascii="宋体" w:hAnsi="宋体" w:eastAsia="宋体" w:cs="宋体"/>
              </w:rPr>
            </w:pPr>
            <w:r>
              <w:rPr>
                <w:rFonts w:hint="eastAsia" w:ascii="宋体" w:hAnsi="宋体" w:eastAsia="宋体" w:cs="宋体"/>
                <w:sz w:val="22"/>
              </w:rPr>
              <w:t>优惠单价</w:t>
            </w:r>
          </w:p>
        </w:tc>
      </w:tr>
      <w:tr w14:paraId="167E762E">
        <w:tc>
          <w:tcPr>
            <w:tcW w:w="744" w:type="dxa"/>
            <w:tcMar>
              <w:top w:w="60" w:type="dxa"/>
              <w:left w:w="120" w:type="dxa"/>
              <w:bottom w:w="30" w:type="dxa"/>
              <w:right w:w="120" w:type="dxa"/>
            </w:tcMar>
          </w:tcPr>
          <w:p w14:paraId="215F3952">
            <w:pPr>
              <w:spacing w:before="120" w:after="120" w:line="288" w:lineRule="auto"/>
              <w:jc w:val="center"/>
              <w:rPr>
                <w:rFonts w:hint="eastAsia" w:ascii="宋体" w:hAnsi="宋体" w:eastAsia="宋体" w:cs="宋体"/>
              </w:rPr>
            </w:pPr>
            <w:r>
              <w:rPr>
                <w:rFonts w:hint="eastAsia" w:ascii="宋体" w:hAnsi="宋体" w:eastAsia="宋体" w:cs="宋体"/>
                <w:sz w:val="22"/>
              </w:rPr>
              <w:t>1</w:t>
            </w:r>
          </w:p>
        </w:tc>
        <w:tc>
          <w:tcPr>
            <w:tcW w:w="2878" w:type="dxa"/>
            <w:tcMar>
              <w:top w:w="60" w:type="dxa"/>
              <w:left w:w="120" w:type="dxa"/>
              <w:bottom w:w="30" w:type="dxa"/>
              <w:right w:w="120" w:type="dxa"/>
            </w:tcMar>
          </w:tcPr>
          <w:p w14:paraId="69D24843">
            <w:pPr>
              <w:spacing w:before="120" w:after="120" w:line="288" w:lineRule="auto"/>
              <w:jc w:val="center"/>
              <w:rPr>
                <w:rFonts w:hint="eastAsia" w:ascii="宋体" w:hAnsi="宋体" w:eastAsia="宋体" w:cs="宋体"/>
              </w:rPr>
            </w:pPr>
            <w:r>
              <w:rPr>
                <w:rFonts w:hint="eastAsia" w:ascii="宋体" w:hAnsi="宋体" w:eastAsia="宋体" w:cs="宋体"/>
                <w:sz w:val="22"/>
              </w:rPr>
              <w:t>天翼安全大脑（防护版）</w:t>
            </w:r>
          </w:p>
        </w:tc>
        <w:tc>
          <w:tcPr>
            <w:tcW w:w="2588" w:type="dxa"/>
            <w:tcMar>
              <w:top w:w="60" w:type="dxa"/>
              <w:left w:w="120" w:type="dxa"/>
              <w:bottom w:w="30" w:type="dxa"/>
              <w:right w:w="120" w:type="dxa"/>
            </w:tcMar>
          </w:tcPr>
          <w:p w14:paraId="4A83214F">
            <w:pPr>
              <w:spacing w:before="120" w:after="120" w:line="288" w:lineRule="auto"/>
              <w:jc w:val="center"/>
              <w:rPr>
                <w:rFonts w:hint="eastAsia" w:ascii="宋体" w:hAnsi="宋体" w:eastAsia="宋体" w:cs="宋体"/>
              </w:rPr>
            </w:pPr>
            <w:r>
              <w:rPr>
                <w:rFonts w:ascii="宋体" w:hAnsi="宋体" w:eastAsia="宋体" w:cs="宋体"/>
              </w:rPr>
              <w:t>300M</w:t>
            </w:r>
            <w:r>
              <w:rPr>
                <w:rFonts w:hint="eastAsia" w:ascii="宋体" w:hAnsi="宋体" w:eastAsia="宋体" w:cs="宋体"/>
              </w:rPr>
              <w:t>带宽以内</w:t>
            </w:r>
          </w:p>
        </w:tc>
        <w:tc>
          <w:tcPr>
            <w:tcW w:w="2070" w:type="dxa"/>
            <w:tcMar>
              <w:top w:w="60" w:type="dxa"/>
              <w:left w:w="120" w:type="dxa"/>
              <w:bottom w:w="30" w:type="dxa"/>
              <w:right w:w="120" w:type="dxa"/>
            </w:tcMar>
          </w:tcPr>
          <w:p w14:paraId="644DA64A">
            <w:pPr>
              <w:spacing w:before="120" w:after="120" w:line="288" w:lineRule="auto"/>
              <w:jc w:val="center"/>
              <w:rPr>
                <w:rFonts w:hint="eastAsia" w:ascii="宋体" w:hAnsi="宋体" w:eastAsia="宋体" w:cs="宋体"/>
              </w:rPr>
            </w:pPr>
            <w:r>
              <w:rPr>
                <w:rFonts w:hint="eastAsia" w:ascii="宋体" w:hAnsi="宋体" w:eastAsia="宋体" w:cs="宋体"/>
              </w:rPr>
              <w:t>600元/月</w:t>
            </w:r>
          </w:p>
        </w:tc>
      </w:tr>
      <w:tr w14:paraId="7CD9D3F2">
        <w:tc>
          <w:tcPr>
            <w:tcW w:w="744" w:type="dxa"/>
            <w:tcMar>
              <w:top w:w="60" w:type="dxa"/>
              <w:left w:w="120" w:type="dxa"/>
              <w:bottom w:w="30" w:type="dxa"/>
              <w:right w:w="120" w:type="dxa"/>
            </w:tcMar>
          </w:tcPr>
          <w:p w14:paraId="238E30BD">
            <w:pPr>
              <w:spacing w:before="120" w:after="120" w:line="288" w:lineRule="auto"/>
              <w:jc w:val="center"/>
              <w:rPr>
                <w:rFonts w:hint="eastAsia" w:ascii="宋体" w:hAnsi="宋体" w:eastAsia="宋体" w:cs="宋体"/>
              </w:rPr>
            </w:pPr>
            <w:r>
              <w:rPr>
                <w:rFonts w:hint="eastAsia" w:ascii="宋体" w:hAnsi="宋体" w:eastAsia="宋体" w:cs="宋体"/>
                <w:sz w:val="22"/>
              </w:rPr>
              <w:t>2</w:t>
            </w:r>
          </w:p>
        </w:tc>
        <w:tc>
          <w:tcPr>
            <w:tcW w:w="2878" w:type="dxa"/>
            <w:tcMar>
              <w:top w:w="60" w:type="dxa"/>
              <w:left w:w="120" w:type="dxa"/>
              <w:bottom w:w="30" w:type="dxa"/>
              <w:right w:w="120" w:type="dxa"/>
            </w:tcMar>
          </w:tcPr>
          <w:p w14:paraId="03896E15">
            <w:pPr>
              <w:spacing w:before="120" w:after="120" w:line="288" w:lineRule="auto"/>
              <w:jc w:val="center"/>
              <w:rPr>
                <w:rFonts w:hint="eastAsia" w:ascii="宋体" w:hAnsi="宋体" w:eastAsia="宋体" w:cs="宋体"/>
              </w:rPr>
            </w:pPr>
            <w:r>
              <w:rPr>
                <w:rFonts w:hint="eastAsia" w:ascii="宋体" w:hAnsi="宋体" w:eastAsia="宋体" w:cs="宋体"/>
                <w:sz w:val="22"/>
              </w:rPr>
              <w:t>云脉SASE</w:t>
            </w:r>
          </w:p>
        </w:tc>
        <w:tc>
          <w:tcPr>
            <w:tcW w:w="2588" w:type="dxa"/>
            <w:tcMar>
              <w:top w:w="60" w:type="dxa"/>
              <w:left w:w="120" w:type="dxa"/>
              <w:bottom w:w="30" w:type="dxa"/>
              <w:right w:w="120" w:type="dxa"/>
            </w:tcMar>
          </w:tcPr>
          <w:p w14:paraId="0A5453E2">
            <w:pPr>
              <w:spacing w:before="120" w:after="120" w:line="288" w:lineRule="auto"/>
              <w:jc w:val="center"/>
              <w:rPr>
                <w:rFonts w:hint="eastAsia" w:ascii="宋体" w:hAnsi="宋体" w:eastAsia="宋体" w:cs="宋体"/>
              </w:rPr>
            </w:pPr>
            <w:r>
              <w:rPr>
                <w:rFonts w:hint="eastAsia" w:ascii="宋体" w:hAnsi="宋体" w:eastAsia="宋体" w:cs="宋体"/>
              </w:rPr>
              <w:t>每10个终端</w:t>
            </w:r>
          </w:p>
        </w:tc>
        <w:tc>
          <w:tcPr>
            <w:tcW w:w="2070" w:type="dxa"/>
            <w:tcMar>
              <w:top w:w="60" w:type="dxa"/>
              <w:left w:w="120" w:type="dxa"/>
              <w:bottom w:w="30" w:type="dxa"/>
              <w:right w:w="120" w:type="dxa"/>
            </w:tcMar>
          </w:tcPr>
          <w:p w14:paraId="6B54843F">
            <w:pPr>
              <w:spacing w:before="120" w:after="120" w:line="288" w:lineRule="auto"/>
              <w:jc w:val="center"/>
              <w:rPr>
                <w:rFonts w:hint="eastAsia" w:ascii="宋体" w:hAnsi="宋体" w:eastAsia="宋体" w:cs="宋体"/>
              </w:rPr>
            </w:pPr>
            <w:r>
              <w:rPr>
                <w:rFonts w:hint="eastAsia" w:ascii="宋体" w:hAnsi="宋体" w:eastAsia="宋体" w:cs="宋体"/>
              </w:rPr>
              <w:t>130元/月</w:t>
            </w:r>
          </w:p>
        </w:tc>
      </w:tr>
      <w:tr w14:paraId="7263D53C">
        <w:tc>
          <w:tcPr>
            <w:tcW w:w="744" w:type="dxa"/>
            <w:tcMar>
              <w:top w:w="60" w:type="dxa"/>
              <w:left w:w="120" w:type="dxa"/>
              <w:bottom w:w="30" w:type="dxa"/>
              <w:right w:w="120" w:type="dxa"/>
            </w:tcMar>
          </w:tcPr>
          <w:p w14:paraId="49EA9389">
            <w:pPr>
              <w:spacing w:before="120" w:after="120" w:line="288" w:lineRule="auto"/>
              <w:jc w:val="center"/>
              <w:rPr>
                <w:rFonts w:hint="eastAsia" w:ascii="宋体" w:hAnsi="宋体" w:eastAsia="宋体" w:cs="宋体"/>
              </w:rPr>
            </w:pPr>
            <w:r>
              <w:rPr>
                <w:rFonts w:hint="eastAsia" w:ascii="宋体" w:hAnsi="宋体" w:eastAsia="宋体" w:cs="宋体"/>
                <w:sz w:val="22"/>
              </w:rPr>
              <w:t>3</w:t>
            </w:r>
          </w:p>
        </w:tc>
        <w:tc>
          <w:tcPr>
            <w:tcW w:w="2878" w:type="dxa"/>
            <w:tcMar>
              <w:top w:w="60" w:type="dxa"/>
              <w:left w:w="120" w:type="dxa"/>
              <w:bottom w:w="30" w:type="dxa"/>
              <w:right w:w="120" w:type="dxa"/>
            </w:tcMar>
          </w:tcPr>
          <w:p w14:paraId="67CBE78F">
            <w:pPr>
              <w:spacing w:before="120" w:after="120" w:line="288" w:lineRule="auto"/>
              <w:jc w:val="center"/>
              <w:rPr>
                <w:rFonts w:hint="eastAsia" w:ascii="宋体" w:hAnsi="宋体" w:eastAsia="宋体" w:cs="宋体"/>
              </w:rPr>
            </w:pPr>
            <w:r>
              <w:rPr>
                <w:rFonts w:hint="eastAsia" w:ascii="宋体" w:hAnsi="宋体" w:eastAsia="宋体" w:cs="宋体"/>
                <w:sz w:val="22"/>
              </w:rPr>
              <w:t>云镜主机安全-服务器版</w:t>
            </w:r>
          </w:p>
        </w:tc>
        <w:tc>
          <w:tcPr>
            <w:tcW w:w="2588" w:type="dxa"/>
            <w:tcMar>
              <w:top w:w="60" w:type="dxa"/>
              <w:left w:w="120" w:type="dxa"/>
              <w:bottom w:w="30" w:type="dxa"/>
              <w:right w:w="120" w:type="dxa"/>
            </w:tcMar>
          </w:tcPr>
          <w:p w14:paraId="4A4370B6">
            <w:pPr>
              <w:spacing w:before="120" w:after="120" w:line="288" w:lineRule="auto"/>
              <w:jc w:val="center"/>
              <w:rPr>
                <w:rFonts w:hint="eastAsia" w:ascii="宋体" w:hAnsi="宋体" w:eastAsia="宋体" w:cs="宋体"/>
              </w:rPr>
            </w:pPr>
            <w:r>
              <w:rPr>
                <w:rFonts w:hint="eastAsia" w:ascii="宋体" w:hAnsi="宋体" w:eastAsia="宋体" w:cs="宋体"/>
              </w:rPr>
              <w:t>每1台服务器</w:t>
            </w:r>
          </w:p>
        </w:tc>
        <w:tc>
          <w:tcPr>
            <w:tcW w:w="2070" w:type="dxa"/>
            <w:tcMar>
              <w:top w:w="60" w:type="dxa"/>
              <w:left w:w="120" w:type="dxa"/>
              <w:bottom w:w="30" w:type="dxa"/>
              <w:right w:w="120" w:type="dxa"/>
            </w:tcMar>
          </w:tcPr>
          <w:p w14:paraId="7F27F3C1">
            <w:pPr>
              <w:spacing w:before="120" w:after="120" w:line="288" w:lineRule="auto"/>
              <w:jc w:val="center"/>
              <w:rPr>
                <w:rFonts w:hint="eastAsia" w:ascii="宋体" w:hAnsi="宋体" w:eastAsia="宋体" w:cs="宋体"/>
              </w:rPr>
            </w:pPr>
            <w:r>
              <w:rPr>
                <w:rFonts w:hint="eastAsia" w:ascii="宋体" w:hAnsi="宋体" w:eastAsia="宋体" w:cs="宋体"/>
              </w:rPr>
              <w:t>120元/月</w:t>
            </w:r>
          </w:p>
        </w:tc>
      </w:tr>
      <w:tr w14:paraId="2AB6E72A">
        <w:tc>
          <w:tcPr>
            <w:tcW w:w="744" w:type="dxa"/>
            <w:tcMar>
              <w:top w:w="60" w:type="dxa"/>
              <w:left w:w="120" w:type="dxa"/>
              <w:bottom w:w="30" w:type="dxa"/>
              <w:right w:w="120" w:type="dxa"/>
            </w:tcMar>
          </w:tcPr>
          <w:p w14:paraId="359DB1ED">
            <w:pPr>
              <w:spacing w:before="120" w:after="120" w:line="288" w:lineRule="auto"/>
              <w:jc w:val="center"/>
              <w:rPr>
                <w:rFonts w:hint="eastAsia" w:ascii="宋体" w:hAnsi="宋体" w:eastAsia="宋体" w:cs="宋体"/>
              </w:rPr>
            </w:pPr>
            <w:r>
              <w:rPr>
                <w:rFonts w:hint="eastAsia" w:ascii="宋体" w:hAnsi="宋体" w:eastAsia="宋体" w:cs="宋体"/>
                <w:sz w:val="22"/>
              </w:rPr>
              <w:t>4</w:t>
            </w:r>
          </w:p>
        </w:tc>
        <w:tc>
          <w:tcPr>
            <w:tcW w:w="2878" w:type="dxa"/>
            <w:tcMar>
              <w:top w:w="60" w:type="dxa"/>
              <w:left w:w="120" w:type="dxa"/>
              <w:bottom w:w="30" w:type="dxa"/>
              <w:right w:w="120" w:type="dxa"/>
            </w:tcMar>
          </w:tcPr>
          <w:p w14:paraId="1CB34DCE">
            <w:pPr>
              <w:spacing w:before="120" w:after="120" w:line="288" w:lineRule="auto"/>
              <w:jc w:val="center"/>
              <w:rPr>
                <w:rFonts w:hint="eastAsia" w:ascii="宋体" w:hAnsi="宋体" w:eastAsia="宋体" w:cs="宋体"/>
              </w:rPr>
            </w:pPr>
            <w:r>
              <w:rPr>
                <w:rFonts w:hint="eastAsia" w:ascii="宋体" w:hAnsi="宋体" w:eastAsia="宋体" w:cs="宋体"/>
                <w:sz w:val="22"/>
              </w:rPr>
              <w:t>安全运营（MSSP）</w:t>
            </w:r>
          </w:p>
        </w:tc>
        <w:tc>
          <w:tcPr>
            <w:tcW w:w="2588" w:type="dxa"/>
            <w:tcMar>
              <w:top w:w="60" w:type="dxa"/>
              <w:left w:w="120" w:type="dxa"/>
              <w:bottom w:w="30" w:type="dxa"/>
              <w:right w:w="120" w:type="dxa"/>
            </w:tcMar>
          </w:tcPr>
          <w:p w14:paraId="209C52E4">
            <w:pPr>
              <w:spacing w:before="120" w:after="120" w:line="288" w:lineRule="auto"/>
              <w:jc w:val="center"/>
              <w:rPr>
                <w:rFonts w:hint="eastAsia" w:ascii="宋体" w:hAnsi="宋体" w:eastAsia="宋体" w:cs="宋体"/>
              </w:rPr>
            </w:pPr>
            <w:r>
              <w:rPr>
                <w:rFonts w:hint="eastAsia" w:ascii="宋体" w:hAnsi="宋体" w:eastAsia="宋体" w:cs="宋体"/>
              </w:rPr>
              <w:t>按月</w:t>
            </w:r>
          </w:p>
        </w:tc>
        <w:tc>
          <w:tcPr>
            <w:tcW w:w="2070" w:type="dxa"/>
            <w:tcMar>
              <w:top w:w="60" w:type="dxa"/>
              <w:left w:w="120" w:type="dxa"/>
              <w:bottom w:w="30" w:type="dxa"/>
              <w:right w:w="120" w:type="dxa"/>
            </w:tcMar>
          </w:tcPr>
          <w:p w14:paraId="0396E8E5">
            <w:pPr>
              <w:spacing w:before="120" w:after="120" w:line="288" w:lineRule="auto"/>
              <w:jc w:val="center"/>
              <w:rPr>
                <w:rFonts w:hint="eastAsia" w:ascii="宋体" w:hAnsi="宋体" w:eastAsia="宋体" w:cs="宋体"/>
              </w:rPr>
            </w:pPr>
            <w:r>
              <w:rPr>
                <w:rFonts w:hint="eastAsia" w:ascii="宋体" w:hAnsi="宋体" w:eastAsia="宋体" w:cs="宋体"/>
              </w:rPr>
              <w:t>400元/月</w:t>
            </w:r>
          </w:p>
        </w:tc>
      </w:tr>
      <w:tr w14:paraId="3B1C3980">
        <w:tc>
          <w:tcPr>
            <w:tcW w:w="744" w:type="dxa"/>
            <w:tcMar>
              <w:top w:w="60" w:type="dxa"/>
              <w:left w:w="120" w:type="dxa"/>
              <w:bottom w:w="30" w:type="dxa"/>
              <w:right w:w="120" w:type="dxa"/>
            </w:tcMar>
          </w:tcPr>
          <w:p w14:paraId="6324CB84">
            <w:pPr>
              <w:spacing w:before="120" w:after="120" w:line="288" w:lineRule="auto"/>
              <w:jc w:val="center"/>
              <w:rPr>
                <w:rFonts w:hint="eastAsia" w:ascii="宋体" w:hAnsi="宋体" w:eastAsia="宋体" w:cs="宋体"/>
              </w:rPr>
            </w:pPr>
            <w:r>
              <w:rPr>
                <w:rFonts w:hint="eastAsia" w:ascii="宋体" w:hAnsi="宋体" w:eastAsia="宋体" w:cs="宋体"/>
                <w:sz w:val="22"/>
              </w:rPr>
              <w:t>5</w:t>
            </w:r>
          </w:p>
        </w:tc>
        <w:tc>
          <w:tcPr>
            <w:tcW w:w="2878" w:type="dxa"/>
            <w:tcMar>
              <w:top w:w="60" w:type="dxa"/>
              <w:left w:w="120" w:type="dxa"/>
              <w:bottom w:w="30" w:type="dxa"/>
              <w:right w:w="120" w:type="dxa"/>
            </w:tcMar>
          </w:tcPr>
          <w:p w14:paraId="0030244C">
            <w:pPr>
              <w:spacing w:before="120" w:after="120" w:line="288" w:lineRule="auto"/>
              <w:jc w:val="center"/>
              <w:rPr>
                <w:rFonts w:hint="eastAsia" w:ascii="宋体" w:hAnsi="宋体" w:eastAsia="宋体" w:cs="宋体"/>
              </w:rPr>
            </w:pPr>
            <w:r>
              <w:rPr>
                <w:rFonts w:hint="eastAsia" w:ascii="宋体" w:hAnsi="宋体" w:eastAsia="宋体" w:cs="宋体"/>
                <w:sz w:val="22"/>
              </w:rPr>
              <w:t>网站安全专家（可选）</w:t>
            </w:r>
          </w:p>
        </w:tc>
        <w:tc>
          <w:tcPr>
            <w:tcW w:w="2588" w:type="dxa"/>
            <w:tcMar>
              <w:top w:w="60" w:type="dxa"/>
              <w:left w:w="120" w:type="dxa"/>
              <w:bottom w:w="30" w:type="dxa"/>
              <w:right w:w="120" w:type="dxa"/>
            </w:tcMar>
          </w:tcPr>
          <w:p w14:paraId="1A9FDE68">
            <w:pPr>
              <w:spacing w:before="120" w:after="120" w:line="288" w:lineRule="auto"/>
              <w:jc w:val="center"/>
              <w:rPr>
                <w:rFonts w:hint="eastAsia" w:ascii="宋体" w:hAnsi="宋体" w:eastAsia="宋体" w:cs="宋体"/>
              </w:rPr>
            </w:pPr>
            <w:r>
              <w:rPr>
                <w:rFonts w:hint="eastAsia" w:ascii="宋体" w:hAnsi="宋体" w:eastAsia="宋体" w:cs="宋体"/>
              </w:rPr>
              <w:t>10个域名以内</w:t>
            </w:r>
          </w:p>
        </w:tc>
        <w:tc>
          <w:tcPr>
            <w:tcW w:w="2070" w:type="dxa"/>
            <w:tcMar>
              <w:top w:w="60" w:type="dxa"/>
              <w:left w:w="120" w:type="dxa"/>
              <w:bottom w:w="30" w:type="dxa"/>
              <w:right w:w="120" w:type="dxa"/>
            </w:tcMar>
          </w:tcPr>
          <w:p w14:paraId="6DC3C174">
            <w:pPr>
              <w:spacing w:before="120" w:after="120" w:line="288" w:lineRule="auto"/>
              <w:jc w:val="center"/>
              <w:rPr>
                <w:rFonts w:hint="eastAsia" w:ascii="宋体" w:hAnsi="宋体" w:eastAsia="宋体" w:cs="宋体"/>
              </w:rPr>
            </w:pPr>
            <w:r>
              <w:rPr>
                <w:rFonts w:hint="eastAsia" w:ascii="宋体" w:hAnsi="宋体" w:eastAsia="宋体" w:cs="宋体"/>
              </w:rPr>
              <w:t>1000元/月</w:t>
            </w:r>
          </w:p>
        </w:tc>
      </w:tr>
      <w:tr w14:paraId="461B5714">
        <w:tc>
          <w:tcPr>
            <w:tcW w:w="744" w:type="dxa"/>
            <w:tcMar>
              <w:top w:w="60" w:type="dxa"/>
              <w:left w:w="120" w:type="dxa"/>
              <w:bottom w:w="30" w:type="dxa"/>
              <w:right w:w="120" w:type="dxa"/>
            </w:tcMar>
          </w:tcPr>
          <w:p w14:paraId="78EE0A70">
            <w:pPr>
              <w:spacing w:before="120" w:after="120" w:line="288" w:lineRule="auto"/>
              <w:jc w:val="center"/>
              <w:rPr>
                <w:rFonts w:hint="eastAsia" w:ascii="宋体" w:hAnsi="宋体" w:eastAsia="宋体" w:cs="宋体"/>
                <w:sz w:val="22"/>
              </w:rPr>
            </w:pPr>
            <w:r>
              <w:rPr>
                <w:rFonts w:hint="eastAsia" w:ascii="宋体" w:hAnsi="宋体" w:eastAsia="宋体" w:cs="宋体"/>
                <w:sz w:val="22"/>
              </w:rPr>
              <w:t>6</w:t>
            </w:r>
          </w:p>
        </w:tc>
        <w:tc>
          <w:tcPr>
            <w:tcW w:w="2878" w:type="dxa"/>
            <w:tcMar>
              <w:top w:w="60" w:type="dxa"/>
              <w:left w:w="120" w:type="dxa"/>
              <w:bottom w:w="30" w:type="dxa"/>
              <w:right w:w="120" w:type="dxa"/>
            </w:tcMar>
          </w:tcPr>
          <w:p w14:paraId="5F136917">
            <w:pPr>
              <w:spacing w:before="120" w:after="120" w:line="288" w:lineRule="auto"/>
              <w:jc w:val="center"/>
              <w:rPr>
                <w:rFonts w:hint="eastAsia" w:ascii="宋体" w:hAnsi="宋体" w:eastAsia="宋体" w:cs="宋体"/>
                <w:sz w:val="22"/>
              </w:rPr>
            </w:pPr>
            <w:r>
              <w:rPr>
                <w:rFonts w:hint="eastAsia" w:ascii="宋体" w:hAnsi="宋体" w:eastAsia="宋体" w:cs="宋体"/>
                <w:sz w:val="22"/>
              </w:rPr>
              <w:t>云剑安服</w:t>
            </w:r>
          </w:p>
        </w:tc>
        <w:tc>
          <w:tcPr>
            <w:tcW w:w="2588" w:type="dxa"/>
            <w:tcMar>
              <w:top w:w="60" w:type="dxa"/>
              <w:left w:w="120" w:type="dxa"/>
              <w:bottom w:w="30" w:type="dxa"/>
              <w:right w:w="120" w:type="dxa"/>
            </w:tcMar>
          </w:tcPr>
          <w:p w14:paraId="06B381AF">
            <w:pPr>
              <w:spacing w:before="120" w:after="120" w:line="288" w:lineRule="auto"/>
              <w:jc w:val="center"/>
              <w:rPr>
                <w:rFonts w:hint="eastAsia" w:ascii="宋体" w:hAnsi="宋体" w:eastAsia="宋体" w:cs="宋体"/>
              </w:rPr>
            </w:pPr>
            <w:r>
              <w:rPr>
                <w:rFonts w:hint="eastAsia" w:ascii="宋体" w:hAnsi="宋体" w:eastAsia="宋体"/>
              </w:rPr>
              <w:t>5个资产以内</w:t>
            </w:r>
          </w:p>
        </w:tc>
        <w:tc>
          <w:tcPr>
            <w:tcW w:w="2070" w:type="dxa"/>
            <w:tcMar>
              <w:top w:w="60" w:type="dxa"/>
              <w:left w:w="120" w:type="dxa"/>
              <w:bottom w:w="30" w:type="dxa"/>
              <w:right w:w="120" w:type="dxa"/>
            </w:tcMar>
          </w:tcPr>
          <w:p w14:paraId="2F82C063">
            <w:pPr>
              <w:spacing w:before="120" w:after="120" w:line="288" w:lineRule="auto"/>
              <w:jc w:val="center"/>
              <w:rPr>
                <w:rFonts w:hint="eastAsia" w:ascii="宋体" w:hAnsi="宋体" w:eastAsia="宋体" w:cs="宋体"/>
              </w:rPr>
            </w:pPr>
            <w:r>
              <w:rPr>
                <w:rFonts w:hint="eastAsia" w:ascii="宋体" w:hAnsi="宋体" w:eastAsia="宋体" w:cs="宋体"/>
              </w:rPr>
              <w:t>35000元/年</w:t>
            </w:r>
          </w:p>
        </w:tc>
      </w:tr>
    </w:tbl>
    <w:p w14:paraId="6E782CE4">
      <w:pPr>
        <w:tabs>
          <w:tab w:val="center" w:pos="4152"/>
        </w:tabs>
        <w:spacing w:before="120" w:after="120" w:line="288" w:lineRule="auto"/>
        <w:jc w:val="left"/>
        <w:rPr>
          <w:rFonts w:hint="eastAsia" w:ascii="宋体" w:hAnsi="宋体" w:eastAsia="宋体" w:cs="宋体"/>
        </w:rPr>
      </w:pPr>
      <w:r>
        <w:rPr>
          <w:rFonts w:hint="eastAsia" w:ascii="宋体" w:hAnsi="宋体" w:eastAsia="宋体" w:cs="宋体"/>
          <w:sz w:val="22"/>
        </w:rPr>
        <w:tab/>
      </w:r>
    </w:p>
    <w:sectPr>
      <w:headerReference r:id="rId3" w:type="default"/>
      <w:pgSz w:w="11905"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3BA488">
    <w:pPr>
      <w:pStyle w:val="4"/>
      <w:jc w:val="left"/>
    </w:pPr>
    <w:r>
      <w:drawing>
        <wp:anchor distT="0" distB="0" distL="0" distR="0" simplePos="0" relativeHeight="251659264" behindDoc="0" locked="0" layoutInCell="1" allowOverlap="1">
          <wp:simplePos x="0" y="0"/>
          <wp:positionH relativeFrom="column">
            <wp:posOffset>3662045</wp:posOffset>
          </wp:positionH>
          <wp:positionV relativeFrom="paragraph">
            <wp:posOffset>37465</wp:posOffset>
          </wp:positionV>
          <wp:extent cx="1571625" cy="440690"/>
          <wp:effectExtent l="0" t="0" r="3175" b="16510"/>
          <wp:wrapSquare wrapText="bothSides"/>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
                  <a:stretch>
                    <a:fillRect/>
                  </a:stretch>
                </pic:blipFill>
                <pic:spPr>
                  <a:xfrm>
                    <a:off x="0" y="0"/>
                    <a:ext cx="1571625" cy="44069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F8526E"/>
    <w:multiLevelType w:val="singleLevel"/>
    <w:tmpl w:val="F3F8526E"/>
    <w:lvl w:ilvl="0" w:tentative="0">
      <w:start w:val="0"/>
      <w:numFmt w:val="bullet"/>
      <w:lvlText w:val="•"/>
      <w:lvlJc w:val="left"/>
      <w:rPr>
        <w:color w:val="3370FF"/>
      </w:rPr>
    </w:lvl>
  </w:abstractNum>
  <w:abstractNum w:abstractNumId="1">
    <w:nsid w:val="F5E722D6"/>
    <w:multiLevelType w:val="singleLevel"/>
    <w:tmpl w:val="F5E722D6"/>
    <w:lvl w:ilvl="0" w:tentative="0">
      <w:start w:val="0"/>
      <w:numFmt w:val="bullet"/>
      <w:lvlText w:val="•"/>
      <w:lvlJc w:val="left"/>
      <w:rPr>
        <w:color w:val="3370FF"/>
      </w:rPr>
    </w:lvl>
  </w:abstractNum>
  <w:abstractNum w:abstractNumId="2">
    <w:nsid w:val="FBFF7F7D"/>
    <w:multiLevelType w:val="singleLevel"/>
    <w:tmpl w:val="FBFF7F7D"/>
    <w:lvl w:ilvl="0" w:tentative="0">
      <w:start w:val="0"/>
      <w:numFmt w:val="bullet"/>
      <w:lvlText w:val="•"/>
      <w:lvlJc w:val="left"/>
      <w:rPr>
        <w:color w:val="3370FF"/>
      </w:rPr>
    </w:lvl>
  </w:abstractNum>
  <w:abstractNum w:abstractNumId="3">
    <w:nsid w:val="150B7E66"/>
    <w:multiLevelType w:val="multilevel"/>
    <w:tmpl w:val="150B7E66"/>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F113525"/>
    <w:multiLevelType w:val="multilevel"/>
    <w:tmpl w:val="3F113525"/>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4D127C16"/>
    <w:multiLevelType w:val="multilevel"/>
    <w:tmpl w:val="4D127C16"/>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556DBC7E"/>
    <w:multiLevelType w:val="singleLevel"/>
    <w:tmpl w:val="556DBC7E"/>
    <w:lvl w:ilvl="0" w:tentative="0">
      <w:start w:val="0"/>
      <w:numFmt w:val="bullet"/>
      <w:lvlText w:val="•"/>
      <w:lvlJc w:val="left"/>
      <w:rPr>
        <w:color w:val="3370FF"/>
      </w:rPr>
    </w:lvl>
  </w:abstractNum>
  <w:abstractNum w:abstractNumId="7">
    <w:nsid w:val="68C94215"/>
    <w:multiLevelType w:val="multilevel"/>
    <w:tmpl w:val="68C94215"/>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6"/>
  </w:num>
  <w:num w:numId="2">
    <w:abstractNumId w:val="0"/>
  </w:num>
  <w:num w:numId="3">
    <w:abstractNumId w:val="1"/>
  </w:num>
  <w:num w:numId="4">
    <w:abstractNumId w:val="2"/>
  </w:num>
  <w:num w:numId="5">
    <w:abstractNumId w:val="4"/>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55C"/>
    <w:rsid w:val="000279A4"/>
    <w:rsid w:val="00031BB9"/>
    <w:rsid w:val="00063D86"/>
    <w:rsid w:val="000777F2"/>
    <w:rsid w:val="0017655C"/>
    <w:rsid w:val="00201FA3"/>
    <w:rsid w:val="00210263"/>
    <w:rsid w:val="00357164"/>
    <w:rsid w:val="003A5690"/>
    <w:rsid w:val="004D0FB5"/>
    <w:rsid w:val="00552491"/>
    <w:rsid w:val="005C6EAD"/>
    <w:rsid w:val="005F3DC9"/>
    <w:rsid w:val="006757EE"/>
    <w:rsid w:val="006C1CAF"/>
    <w:rsid w:val="006C7450"/>
    <w:rsid w:val="006D2C93"/>
    <w:rsid w:val="006F50CB"/>
    <w:rsid w:val="007450FB"/>
    <w:rsid w:val="007F70BE"/>
    <w:rsid w:val="00826C57"/>
    <w:rsid w:val="00874268"/>
    <w:rsid w:val="008758A8"/>
    <w:rsid w:val="008A0AC7"/>
    <w:rsid w:val="00940F9B"/>
    <w:rsid w:val="00982CE9"/>
    <w:rsid w:val="00985800"/>
    <w:rsid w:val="009A4497"/>
    <w:rsid w:val="009C4295"/>
    <w:rsid w:val="009D5232"/>
    <w:rsid w:val="009E26AB"/>
    <w:rsid w:val="009F7AF9"/>
    <w:rsid w:val="00A41DC1"/>
    <w:rsid w:val="00A70666"/>
    <w:rsid w:val="00A87D94"/>
    <w:rsid w:val="00A964D5"/>
    <w:rsid w:val="00AE7BD2"/>
    <w:rsid w:val="00B22E0B"/>
    <w:rsid w:val="00B56AFC"/>
    <w:rsid w:val="00B768F3"/>
    <w:rsid w:val="00BB5BB3"/>
    <w:rsid w:val="00BE0D70"/>
    <w:rsid w:val="00C57823"/>
    <w:rsid w:val="00C65C72"/>
    <w:rsid w:val="00CC2B2A"/>
    <w:rsid w:val="00D46A25"/>
    <w:rsid w:val="00D75814"/>
    <w:rsid w:val="00D91575"/>
    <w:rsid w:val="00E0628F"/>
    <w:rsid w:val="00E50EA8"/>
    <w:rsid w:val="00F75AAB"/>
    <w:rsid w:val="00F848A5"/>
    <w:rsid w:val="00F87C9B"/>
    <w:rsid w:val="7FEBB3EC"/>
    <w:rsid w:val="B97F62EC"/>
    <w:rsid w:val="B9F1D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lang w:val="en-US" w:eastAsia="zh-CN" w:bidi="ar-SA"/>
    </w:rPr>
  </w:style>
  <w:style w:type="paragraph" w:styleId="2">
    <w:name w:val="heading 2"/>
    <w:basedOn w:val="1"/>
    <w:next w:val="1"/>
    <w:link w:val="7"/>
    <w:unhideWhenUsed/>
    <w:qFormat/>
    <w:uiPriority w:val="9"/>
    <w:pPr>
      <w:keepNext/>
      <w:keepLines/>
      <w:widowControl/>
      <w:spacing w:before="200" w:line="276" w:lineRule="auto"/>
      <w:jc w:val="left"/>
      <w:outlineLvl w:val="1"/>
    </w:pPr>
    <w:rPr>
      <w:rFonts w:asciiTheme="majorHAnsi" w:hAnsiTheme="majorHAnsi" w:eastAsiaTheme="majorEastAsia" w:cstheme="majorBidi"/>
      <w:b/>
      <w:bCs/>
      <w:sz w:val="26"/>
      <w:szCs w:val="26"/>
      <w:lang w:eastAsia="en-US"/>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10"/>
    <w:uiPriority w:val="0"/>
    <w:pPr>
      <w:tabs>
        <w:tab w:val="center" w:pos="4153"/>
        <w:tab w:val="right" w:pos="8306"/>
      </w:tabs>
      <w:snapToGrid w:val="0"/>
      <w:jc w:val="left"/>
    </w:pPr>
    <w:rPr>
      <w:sz w:val="18"/>
      <w:szCs w:val="18"/>
    </w:rPr>
  </w:style>
  <w:style w:type="paragraph" w:styleId="4">
    <w:name w:val="header"/>
    <w:basedOn w:val="1"/>
    <w:link w:val="9"/>
    <w:uiPriority w:val="0"/>
    <w:pPr>
      <w:tabs>
        <w:tab w:val="center" w:pos="4153"/>
        <w:tab w:val="right" w:pos="8306"/>
      </w:tabs>
      <w:snapToGrid w:val="0"/>
      <w:jc w:val="center"/>
    </w:pPr>
    <w:rPr>
      <w:sz w:val="18"/>
      <w:szCs w:val="18"/>
    </w:rPr>
  </w:style>
  <w:style w:type="character" w:customStyle="1" w:styleId="7">
    <w:name w:val="标题 2 字符"/>
    <w:basedOn w:val="6"/>
    <w:link w:val="2"/>
    <w:uiPriority w:val="9"/>
    <w:rPr>
      <w:rFonts w:asciiTheme="majorHAnsi" w:hAnsiTheme="majorHAnsi" w:eastAsiaTheme="majorEastAsia" w:cstheme="majorBidi"/>
      <w:b/>
      <w:bCs/>
      <w:sz w:val="26"/>
      <w:szCs w:val="26"/>
      <w:lang w:eastAsia="en-US"/>
    </w:rPr>
  </w:style>
  <w:style w:type="paragraph" w:styleId="8">
    <w:name w:val="List Paragraph"/>
    <w:basedOn w:val="1"/>
    <w:unhideWhenUsed/>
    <w:uiPriority w:val="99"/>
    <w:pPr>
      <w:ind w:firstLine="420" w:firstLineChars="200"/>
    </w:pPr>
  </w:style>
  <w:style w:type="character" w:customStyle="1" w:styleId="9">
    <w:name w:val="页眉 字符"/>
    <w:basedOn w:val="6"/>
    <w:link w:val="4"/>
    <w:uiPriority w:val="0"/>
    <w:rPr>
      <w:sz w:val="18"/>
      <w:szCs w:val="18"/>
    </w:rPr>
  </w:style>
  <w:style w:type="character" w:customStyle="1" w:styleId="10">
    <w:name w:val="页脚 字符"/>
    <w:basedOn w:val="6"/>
    <w:link w:val="3"/>
    <w:uiPriority w:val="0"/>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502</Words>
  <Characters>2865</Characters>
  <Lines>23</Lines>
  <Paragraphs>6</Paragraphs>
  <TotalTime>1</TotalTime>
  <ScaleCrop>false</ScaleCrop>
  <LinksUpToDate>false</LinksUpToDate>
  <CharactersWithSpaces>3361</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2026-05-27T22:15:00Z</dcterms:created>
  <dc:creator>Apache POI</dc:creator>
  <cp:lastModifiedBy>zwz</cp:lastModifiedBy>
  <dcterms:modified xsi:type="dcterms:W3CDTF">2026-05-27T22:45:12Z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{"Label":"1","ContentProducer":"001191110102MACQD9K64010000","ProduceID":"7644451281605020890","ReservedCode1":"","ContentPropagator":"","PropagateID":"","ReservedCode2":""}</vt:lpwstr>
  </property>
  <property fmtid="{D5CDD505-2E9C-101B-9397-08002B2CF9AE}" pid="3" name="KSOProductBuildVer">
    <vt:lpwstr>2052-12.1.25895.25895</vt:lpwstr>
  </property>
  <property fmtid="{D5CDD505-2E9C-101B-9397-08002B2CF9AE}" pid="4" name="ICV">
    <vt:lpwstr>3BBB07A5854E0E83918F166A32E60DD8_42</vt:lpwstr>
  </property>
</Properties>
</file>