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bookmarkStart w:id="0" w:name="_Toc7986"/>
      <w:bookmarkStart w:id="1" w:name="_Toc159937098"/>
      <w:r>
        <w:rPr>
          <w:rFonts w:hint="eastAsia"/>
        </w:rPr>
        <w:t>云镜资费与折扣标准</w:t>
      </w:r>
      <w:bookmarkEnd w:id="0"/>
      <w:bookmarkEnd w:id="1"/>
    </w:p>
    <w:p>
      <w:pPr>
        <w:pStyle w:val="3"/>
        <w:bidi w:val="0"/>
        <w:rPr>
          <w:rFonts w:hint="eastAsia" w:ascii="微软雅黑" w:hAnsi="微软雅黑" w:eastAsia="微软雅黑" w:cs="微软雅黑"/>
          <w:sz w:val="32"/>
          <w:szCs w:val="28"/>
          <w:lang w:val="en-US" w:eastAsia="zh-CN"/>
        </w:rPr>
      </w:pPr>
      <w:r>
        <w:rPr>
          <w:rFonts w:hint="eastAsia" w:ascii="微软雅黑" w:hAnsi="微软雅黑" w:eastAsia="微软雅黑" w:cs="微软雅黑"/>
          <w:sz w:val="32"/>
          <w:szCs w:val="28"/>
          <w:lang w:val="en-US" w:eastAsia="zh-CN"/>
        </w:rPr>
        <w:t>一、</w:t>
      </w:r>
      <w:r>
        <w:rPr>
          <w:rFonts w:hint="eastAsia" w:ascii="微软雅黑" w:hAnsi="微软雅黑" w:eastAsia="微软雅黑" w:cs="微软雅黑"/>
          <w:sz w:val="32"/>
          <w:szCs w:val="28"/>
        </w:rPr>
        <w:t>产品</w:t>
      </w:r>
      <w:r>
        <w:rPr>
          <w:rFonts w:hint="eastAsia" w:ascii="微软雅黑" w:hAnsi="微软雅黑" w:eastAsia="微软雅黑" w:cs="微软雅黑"/>
          <w:sz w:val="32"/>
          <w:szCs w:val="28"/>
          <w:lang w:val="en-US" w:eastAsia="zh-CN"/>
        </w:rPr>
        <w:t>说明</w:t>
      </w:r>
    </w:p>
    <w:p>
      <w:pPr>
        <w:spacing w:line="56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云镜主机安全防护服务是中国电信安全公司面向企业客户推出的能够全面评估主机的资产风险，快速建立主机安全防护体系的一体化防护服务，包含主机资产清点、登录管理、异常检测、</w:t>
      </w:r>
      <w:r>
        <w:rPr>
          <w:rFonts w:hint="eastAsia" w:ascii="宋体" w:hAnsi="宋体" w:eastAsia="宋体" w:cs="宋体"/>
          <w:sz w:val="24"/>
          <w:szCs w:val="24"/>
          <w:lang w:val="en-US" w:eastAsia="zh-CN"/>
        </w:rPr>
        <w:t>病毒查杀</w:t>
      </w:r>
      <w:r>
        <w:rPr>
          <w:rFonts w:hint="eastAsia" w:ascii="宋体" w:hAnsi="宋体" w:eastAsia="宋体" w:cs="宋体"/>
          <w:sz w:val="24"/>
          <w:szCs w:val="24"/>
        </w:rPr>
        <w:t>、漏洞扫描、容器安全防护等服务项，从事前防御、事中报警与事后追溯解决企业存在的资产不清晰，配置风险，入侵攻击等问题，为客户提供网络层、系统层、应用层全方位的防护支撑。</w:t>
      </w:r>
    </w:p>
    <w:p>
      <w:pPr>
        <w:pStyle w:val="3"/>
        <w:numPr>
          <w:ilvl w:val="0"/>
          <w:numId w:val="1"/>
        </w:numPr>
        <w:bidi w:val="0"/>
        <w:rPr>
          <w:rFonts w:hint="eastAsia" w:ascii="微软雅黑" w:hAnsi="微软雅黑" w:eastAsia="微软雅黑" w:cs="微软雅黑"/>
          <w:sz w:val="32"/>
          <w:szCs w:val="28"/>
          <w:lang w:val="en-US" w:eastAsia="zh-CN"/>
        </w:rPr>
      </w:pPr>
      <w:r>
        <w:rPr>
          <w:rFonts w:hint="eastAsia" w:ascii="微软雅黑" w:hAnsi="微软雅黑" w:eastAsia="微软雅黑" w:cs="微软雅黑"/>
          <w:sz w:val="32"/>
          <w:szCs w:val="28"/>
          <w:lang w:val="en-US" w:eastAsia="zh-CN"/>
        </w:rPr>
        <w:t>版本信息</w:t>
      </w:r>
    </w:p>
    <w:tbl>
      <w:tblPr>
        <w:tblW w:w="7180"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0" w:type="dxa"/>
          <w:bottom w:w="0" w:type="dxa"/>
          <w:right w:w="0" w:type="dxa"/>
        </w:tblCellMar>
      </w:tblPr>
      <w:tblGrid>
        <w:gridCol w:w="2220"/>
        <w:gridCol w:w="2500"/>
        <w:gridCol w:w="24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38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功能模块</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标准版</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旗舰版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35"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资产清点</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入侵检测</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漏洞扫描</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基线核查</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异常行为审计</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微隔离</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集中杀毒</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蜜罐</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本地查杀</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容器运行时防护</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trHeight w:val="400" w:hRule="atLeast"/>
          <w:tblCellSpacing w:w="0" w:type="dxa"/>
          <w:jc w:val="center"/>
        </w:trPr>
        <w:tc>
          <w:tcPr>
            <w:tcW w:w="222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rPr>
                <w:rFonts w:hint="eastAsia" w:ascii="宋体" w:hAnsi="宋体" w:eastAsia="宋体" w:cs="宋体"/>
                <w:b w:val="0"/>
                <w:bCs w:val="0"/>
                <w:color w:val="auto"/>
              </w:rPr>
            </w:pPr>
            <w:r>
              <w:rPr>
                <w:rFonts w:hint="eastAsia" w:ascii="宋体" w:hAnsi="宋体" w:eastAsia="宋体" w:cs="宋体"/>
                <w:b w:val="0"/>
                <w:bCs w:val="0"/>
                <w:color w:val="auto"/>
                <w:sz w:val="20"/>
                <w:szCs w:val="20"/>
                <w:bdr w:val="none" w:color="auto" w:sz="0" w:space="0"/>
              </w:rPr>
              <w:t>RASP</w:t>
            </w:r>
          </w:p>
        </w:tc>
        <w:tc>
          <w:tcPr>
            <w:tcW w:w="250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c>
          <w:tcPr>
            <w:tcW w:w="2460" w:type="dxa"/>
            <w:tcBorders>
              <w:top w:val="single" w:color="595959" w:sz="2" w:space="0"/>
              <w:left w:val="single" w:color="595959" w:sz="2" w:space="0"/>
              <w:bottom w:val="single" w:color="595959" w:sz="2" w:space="0"/>
              <w:right w:val="single" w:color="595959" w:sz="2" w:space="0"/>
            </w:tcBorders>
            <w:shd w:val="clear" w:color="auto" w:fill="FFFFFF" w:themeFill="background1"/>
            <w:tcMar>
              <w:top w:w="20" w:type="dxa"/>
              <w:left w:w="20" w:type="dxa"/>
              <w:right w:w="20" w:type="dxa"/>
            </w:tcMar>
            <w:vAlign w:val="center"/>
          </w:tcPr>
          <w:p>
            <w:pPr>
              <w:pStyle w:val="10"/>
              <w:keepNext w:val="0"/>
              <w:keepLines w:val="0"/>
              <w:widowControl/>
              <w:suppressLineNumbers w:val="0"/>
              <w:jc w:val="center"/>
              <w:rPr>
                <w:rFonts w:hint="eastAsia" w:ascii="宋体" w:hAnsi="宋体" w:eastAsia="宋体" w:cs="宋体"/>
                <w:b w:val="0"/>
                <w:bCs w:val="0"/>
                <w:color w:val="auto"/>
              </w:rPr>
            </w:pPr>
            <w:r>
              <w:rPr>
                <w:rFonts w:hint="eastAsia" w:ascii="宋体" w:hAnsi="宋体" w:eastAsia="宋体" w:cs="宋体"/>
                <w:b w:val="0"/>
                <w:bCs w:val="0"/>
                <w:color w:val="auto"/>
                <w:sz w:val="32"/>
                <w:szCs w:val="32"/>
                <w:bdr w:val="none" w:color="auto" w:sz="0" w:space="0"/>
              </w:rPr>
              <w:t>√</w:t>
            </w:r>
          </w:p>
        </w:tc>
      </w:tr>
    </w:tbl>
    <w:p>
      <w:pPr>
        <w:numPr>
          <w:numId w:val="0"/>
        </w:numPr>
        <w:rPr>
          <w:rFonts w:hint="default"/>
          <w:b w:val="0"/>
          <w:bCs w:val="0"/>
          <w:lang w:val="en-US" w:eastAsia="zh-CN"/>
        </w:rPr>
      </w:pPr>
    </w:p>
    <w:p>
      <w:pPr>
        <w:pStyle w:val="3"/>
        <w:numPr>
          <w:ilvl w:val="0"/>
          <w:numId w:val="1"/>
        </w:numPr>
        <w:bidi w:val="0"/>
        <w:rPr>
          <w:rFonts w:hint="eastAsia" w:ascii="微软雅黑" w:hAnsi="微软雅黑" w:eastAsia="微软雅黑" w:cs="微软雅黑"/>
          <w:sz w:val="32"/>
          <w:szCs w:val="28"/>
          <w:lang w:val="en-US" w:eastAsia="zh-CN"/>
        </w:rPr>
      </w:pPr>
      <w:r>
        <w:rPr>
          <w:rFonts w:hint="eastAsia" w:ascii="微软雅黑" w:hAnsi="微软雅黑" w:eastAsia="微软雅黑" w:cs="微软雅黑"/>
          <w:sz w:val="32"/>
          <w:szCs w:val="28"/>
          <w:lang w:val="en-US" w:eastAsia="zh-CN"/>
        </w:rPr>
        <w:t>标准资费</w:t>
      </w:r>
    </w:p>
    <w:tbl>
      <w:tblPr>
        <w:tblStyle w:val="11"/>
        <w:tblW w:w="504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1087"/>
        <w:gridCol w:w="1050"/>
        <w:gridCol w:w="967"/>
        <w:gridCol w:w="2606"/>
        <w:gridCol w:w="1412"/>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48" w:hRule="atLeast"/>
        </w:trPr>
        <w:tc>
          <w:tcPr>
            <w:tcW w:w="631"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服务名称</w:t>
            </w:r>
          </w:p>
        </w:tc>
        <w:tc>
          <w:tcPr>
            <w:tcW w:w="609"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服务方式</w:t>
            </w:r>
          </w:p>
        </w:tc>
        <w:tc>
          <w:tcPr>
            <w:tcW w:w="561"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计费项</w:t>
            </w:r>
          </w:p>
        </w:tc>
        <w:tc>
          <w:tcPr>
            <w:tcW w:w="1513"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规格</w:t>
            </w:r>
          </w:p>
        </w:tc>
        <w:tc>
          <w:tcPr>
            <w:tcW w:w="820"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收费标准</w:t>
            </w:r>
          </w:p>
        </w:tc>
        <w:tc>
          <w:tcPr>
            <w:tcW w:w="862"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48" w:hRule="atLeast"/>
        </w:trPr>
        <w:tc>
          <w:tcPr>
            <w:tcW w:w="631" w:type="pct"/>
            <w:vMerge w:val="restar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云镜主机安全防护服务</w:t>
            </w:r>
          </w:p>
        </w:tc>
        <w:tc>
          <w:tcPr>
            <w:tcW w:w="609" w:type="pct"/>
            <w:vMerge w:val="restar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b/>
                <w:bCs/>
                <w:kern w:val="0"/>
                <w:sz w:val="20"/>
                <w:szCs w:val="20"/>
              </w:rPr>
              <w:t>SaaS</w:t>
            </w:r>
            <w:r>
              <w:rPr>
                <w:rFonts w:hint="eastAsia" w:ascii="宋体" w:hAnsi="宋体" w:eastAsia="宋体" w:cs="华文仿宋"/>
                <w:kern w:val="0"/>
                <w:sz w:val="20"/>
                <w:szCs w:val="20"/>
              </w:rPr>
              <w:br w:type="textWrapping"/>
            </w:r>
            <w:r>
              <w:rPr>
                <w:rFonts w:hint="eastAsia" w:ascii="宋体" w:hAnsi="宋体" w:eastAsia="宋体" w:cs="华文仿宋"/>
                <w:kern w:val="0"/>
                <w:sz w:val="20"/>
                <w:szCs w:val="20"/>
              </w:rPr>
              <w:t>（云端+本地Agent）</w:t>
            </w:r>
          </w:p>
        </w:tc>
        <w:tc>
          <w:tcPr>
            <w:tcW w:w="561"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服务器-</w:t>
            </w:r>
            <w:r>
              <w:rPr>
                <w:rFonts w:hint="eastAsia" w:ascii="宋体" w:hAnsi="宋体" w:eastAsia="宋体" w:cs="华文仿宋"/>
                <w:kern w:val="0"/>
                <w:sz w:val="20"/>
                <w:szCs w:val="20"/>
                <w:lang w:val="en-US" w:eastAsia="zh-CN"/>
              </w:rPr>
              <w:t>标准</w:t>
            </w:r>
            <w:r>
              <w:rPr>
                <w:rFonts w:hint="eastAsia" w:ascii="宋体" w:hAnsi="宋体" w:eastAsia="宋体" w:cs="华文仿宋"/>
                <w:kern w:val="0"/>
                <w:sz w:val="20"/>
                <w:szCs w:val="20"/>
              </w:rPr>
              <w:t>版</w:t>
            </w:r>
          </w:p>
        </w:tc>
        <w:tc>
          <w:tcPr>
            <w:tcW w:w="1513" w:type="pct"/>
            <w:shd w:val="clear" w:color="auto" w:fill="FFFFFF" w:themeFill="background1"/>
            <w:vAlign w:val="center"/>
          </w:tcPr>
          <w:p>
            <w:pPr>
              <w:pStyle w:val="20"/>
              <w:ind w:firstLine="0" w:firstLineChars="0"/>
              <w:jc w:val="both"/>
              <w:rPr>
                <w:rFonts w:ascii="宋体" w:hAnsi="宋体" w:eastAsia="宋体" w:cs="华文仿宋"/>
                <w:kern w:val="0"/>
                <w:sz w:val="20"/>
                <w:szCs w:val="20"/>
              </w:rPr>
            </w:pPr>
            <w:r>
              <w:rPr>
                <w:rFonts w:hint="eastAsia" w:ascii="宋体" w:hAnsi="宋体" w:eastAsia="宋体" w:cs="华文仿宋"/>
                <w:kern w:val="0"/>
                <w:sz w:val="20"/>
                <w:szCs w:val="20"/>
              </w:rPr>
              <w:t>支持功能：通用模块（资产清点、入侵检测、漏洞扫描、基线核查、异常行为审计、</w:t>
            </w:r>
            <w:r>
              <w:rPr>
                <w:rFonts w:hint="eastAsia" w:ascii="宋体" w:hAnsi="宋体" w:eastAsia="宋体" w:cs="华文仿宋"/>
                <w:kern w:val="0"/>
                <w:sz w:val="20"/>
                <w:szCs w:val="20"/>
                <w:lang w:val="en-US" w:eastAsia="zh-CN"/>
              </w:rPr>
              <w:t>微隔离+本地杀毒</w:t>
            </w:r>
          </w:p>
        </w:tc>
        <w:tc>
          <w:tcPr>
            <w:tcW w:w="820"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1</w:t>
            </w:r>
            <w:r>
              <w:rPr>
                <w:rFonts w:hint="eastAsia" w:ascii="宋体" w:hAnsi="宋体" w:eastAsia="宋体" w:cs="华文仿宋"/>
                <w:kern w:val="0"/>
                <w:sz w:val="20"/>
                <w:szCs w:val="20"/>
                <w:lang w:val="en-US" w:eastAsia="zh-CN"/>
              </w:rPr>
              <w:t>4</w:t>
            </w:r>
            <w:r>
              <w:rPr>
                <w:rFonts w:hint="eastAsia" w:ascii="宋体" w:hAnsi="宋体" w:eastAsia="宋体" w:cs="华文仿宋"/>
                <w:kern w:val="0"/>
                <w:sz w:val="20"/>
                <w:szCs w:val="20"/>
              </w:rPr>
              <w:t>0元/端/月</w:t>
            </w:r>
          </w:p>
        </w:tc>
        <w:tc>
          <w:tcPr>
            <w:tcW w:w="862" w:type="pct"/>
            <w:vMerge w:val="restar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48" w:hRule="atLeast"/>
        </w:trPr>
        <w:tc>
          <w:tcPr>
            <w:tcW w:w="631"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c>
          <w:tcPr>
            <w:tcW w:w="609"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c>
          <w:tcPr>
            <w:tcW w:w="561"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服务器-旗舰版</w:t>
            </w:r>
          </w:p>
        </w:tc>
        <w:tc>
          <w:tcPr>
            <w:tcW w:w="1513" w:type="pct"/>
            <w:shd w:val="clear" w:color="auto" w:fill="FFFFFF" w:themeFill="background1"/>
            <w:vAlign w:val="center"/>
          </w:tcPr>
          <w:p>
            <w:pPr>
              <w:pStyle w:val="20"/>
              <w:ind w:firstLine="0" w:firstLineChars="0"/>
              <w:jc w:val="both"/>
              <w:rPr>
                <w:rFonts w:ascii="宋体" w:hAnsi="宋体" w:eastAsia="宋体" w:cs="华文仿宋"/>
                <w:kern w:val="0"/>
                <w:sz w:val="20"/>
                <w:szCs w:val="20"/>
              </w:rPr>
            </w:pPr>
            <w:r>
              <w:rPr>
                <w:rFonts w:hint="eastAsia" w:ascii="宋体" w:hAnsi="宋体" w:eastAsia="宋体" w:cs="华文仿宋"/>
                <w:kern w:val="0"/>
                <w:sz w:val="20"/>
                <w:szCs w:val="20"/>
              </w:rPr>
              <w:t>支持功能：通用模块（资产清点、入侵检测、漏洞扫描、基线核查、蜜罐、异常行为审计、</w:t>
            </w:r>
            <w:r>
              <w:rPr>
                <w:rFonts w:hint="eastAsia" w:ascii="宋体" w:hAnsi="宋体" w:eastAsia="宋体" w:cs="华文仿宋"/>
                <w:kern w:val="0"/>
                <w:sz w:val="20"/>
                <w:szCs w:val="20"/>
                <w:lang w:val="en-US" w:eastAsia="zh-CN"/>
              </w:rPr>
              <w:t>微隔离</w:t>
            </w:r>
            <w:r>
              <w:rPr>
                <w:rFonts w:hint="eastAsia" w:ascii="宋体" w:hAnsi="宋体" w:eastAsia="宋体" w:cs="华文仿宋"/>
                <w:kern w:val="0"/>
                <w:sz w:val="20"/>
                <w:szCs w:val="20"/>
              </w:rPr>
              <w:t>+本地杀毒+容器运行时防护+RASP</w:t>
            </w:r>
          </w:p>
        </w:tc>
        <w:tc>
          <w:tcPr>
            <w:tcW w:w="820"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200元/端/月</w:t>
            </w:r>
          </w:p>
        </w:tc>
        <w:tc>
          <w:tcPr>
            <w:tcW w:w="862"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41" w:hRule="atLeast"/>
        </w:trPr>
        <w:tc>
          <w:tcPr>
            <w:tcW w:w="631"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c>
          <w:tcPr>
            <w:tcW w:w="609" w:type="pct"/>
            <w:vMerge w:val="restar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b/>
                <w:bCs/>
                <w:kern w:val="0"/>
                <w:sz w:val="20"/>
                <w:szCs w:val="20"/>
              </w:rPr>
              <w:t>私有化</w:t>
            </w:r>
            <w:r>
              <w:rPr>
                <w:rFonts w:hint="eastAsia" w:ascii="宋体" w:hAnsi="宋体" w:eastAsia="宋体" w:cs="华文仿宋"/>
                <w:kern w:val="0"/>
                <w:sz w:val="20"/>
                <w:szCs w:val="20"/>
              </w:rPr>
              <w:br w:type="textWrapping"/>
            </w:r>
            <w:r>
              <w:rPr>
                <w:rFonts w:hint="eastAsia" w:ascii="宋体" w:hAnsi="宋体" w:eastAsia="宋体" w:cs="华文仿宋"/>
                <w:kern w:val="0"/>
                <w:sz w:val="20"/>
                <w:szCs w:val="20"/>
              </w:rPr>
              <w:t>（本地管理平台+本地Agent）</w:t>
            </w:r>
          </w:p>
        </w:tc>
        <w:tc>
          <w:tcPr>
            <w:tcW w:w="561"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管理平台（必选）</w:t>
            </w:r>
          </w:p>
        </w:tc>
        <w:tc>
          <w:tcPr>
            <w:tcW w:w="1513"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对客户端进行统一集中管控与安全事件可视化展示。</w:t>
            </w:r>
          </w:p>
        </w:tc>
        <w:tc>
          <w:tcPr>
            <w:tcW w:w="820"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6000元/套/年</w:t>
            </w:r>
          </w:p>
        </w:tc>
        <w:tc>
          <w:tcPr>
            <w:tcW w:w="862" w:type="pct"/>
            <w:vMerge w:val="restart"/>
            <w:shd w:val="clear" w:color="auto" w:fill="FFFFFF" w:themeFill="background1"/>
            <w:vAlign w:val="center"/>
          </w:tcPr>
          <w:p>
            <w:pPr>
              <w:pStyle w:val="20"/>
              <w:numPr>
                <w:ilvl w:val="0"/>
                <w:numId w:val="2"/>
              </w:numPr>
              <w:ind w:firstLine="0" w:firstLineChars="0"/>
              <w:jc w:val="left"/>
              <w:rPr>
                <w:rFonts w:ascii="宋体" w:hAnsi="宋体" w:eastAsia="宋体" w:cs="华文仿宋"/>
                <w:kern w:val="0"/>
                <w:sz w:val="20"/>
                <w:szCs w:val="20"/>
              </w:rPr>
            </w:pPr>
            <w:r>
              <w:rPr>
                <w:rFonts w:hint="eastAsia" w:ascii="宋体" w:hAnsi="宋体" w:eastAsia="宋体" w:cs="华文仿宋"/>
                <w:kern w:val="0"/>
                <w:sz w:val="20"/>
                <w:szCs w:val="20"/>
              </w:rPr>
              <w:t>客户端200点</w:t>
            </w:r>
            <w:r>
              <w:rPr>
                <w:rFonts w:hint="eastAsia" w:ascii="宋体" w:hAnsi="宋体" w:eastAsia="宋体" w:cs="华文仿宋"/>
                <w:kern w:val="0"/>
                <w:sz w:val="20"/>
                <w:szCs w:val="20"/>
                <w:lang w:eastAsia="zh-CN"/>
              </w:rPr>
              <w:t>、</w:t>
            </w:r>
            <w:r>
              <w:rPr>
                <w:rFonts w:hint="eastAsia" w:ascii="宋体" w:hAnsi="宋体" w:eastAsia="宋体" w:cs="华文仿宋"/>
                <w:kern w:val="0"/>
                <w:sz w:val="20"/>
                <w:szCs w:val="20"/>
                <w:lang w:val="en-US" w:eastAsia="zh-CN"/>
              </w:rPr>
              <w:t>订购1年及</w:t>
            </w:r>
            <w:r>
              <w:rPr>
                <w:rFonts w:hint="eastAsia" w:ascii="宋体" w:hAnsi="宋体" w:eastAsia="宋体" w:cs="华文仿宋"/>
                <w:kern w:val="0"/>
                <w:sz w:val="20"/>
                <w:szCs w:val="20"/>
              </w:rPr>
              <w:t>以上，管理平台可免费；</w:t>
            </w:r>
            <w:r>
              <w:rPr>
                <w:rFonts w:hint="eastAsia" w:ascii="宋体" w:hAnsi="宋体" w:eastAsia="宋体" w:cs="华文仿宋"/>
                <w:kern w:val="0"/>
                <w:sz w:val="20"/>
                <w:szCs w:val="20"/>
              </w:rPr>
              <w:br w:type="textWrapping"/>
            </w:r>
            <w:r>
              <w:rPr>
                <w:rFonts w:hint="eastAsia" w:ascii="宋体" w:hAnsi="宋体" w:eastAsia="宋体" w:cs="华文仿宋"/>
                <w:kern w:val="0"/>
                <w:sz w:val="20"/>
                <w:szCs w:val="20"/>
              </w:rPr>
              <w:t>2.私有化最低起租周期一年，最少客户端50个，三年及以上管理平台免费；　</w:t>
            </w:r>
          </w:p>
          <w:p>
            <w:pPr>
              <w:pStyle w:val="10"/>
              <w:spacing w:before="0" w:beforeAutospacing="0" w:after="0" w:afterAutospacing="0"/>
              <w:rPr>
                <w:rFonts w:hint="default" w:eastAsia="宋体" w:cs="华文仿宋"/>
                <w:sz w:val="20"/>
                <w:szCs w:val="20"/>
                <w:lang w:val="en-US" w:eastAsia="zh-CN"/>
              </w:rPr>
            </w:pPr>
            <w:r>
              <w:rPr>
                <w:rFonts w:hint="eastAsia" w:cs="华文仿宋"/>
                <w:sz w:val="20"/>
                <w:szCs w:val="20"/>
              </w:rPr>
              <w:t>3.</w:t>
            </w:r>
            <w:r>
              <w:rPr>
                <w:rFonts w:hint="eastAsia" w:cs="华文仿宋"/>
                <w:sz w:val="20"/>
                <w:szCs w:val="20"/>
                <w:lang w:val="en-US" w:eastAsia="zh-CN"/>
              </w:rPr>
              <w:t>客户提供管理平台部署需要服务器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48" w:hRule="atLeast"/>
        </w:trPr>
        <w:tc>
          <w:tcPr>
            <w:tcW w:w="631"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c>
          <w:tcPr>
            <w:tcW w:w="609"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c>
          <w:tcPr>
            <w:tcW w:w="561"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服务器-标准版</w:t>
            </w:r>
          </w:p>
        </w:tc>
        <w:tc>
          <w:tcPr>
            <w:tcW w:w="1513" w:type="pct"/>
            <w:shd w:val="clear" w:color="auto" w:fill="FFFFFF" w:themeFill="background1"/>
            <w:vAlign w:val="center"/>
          </w:tcPr>
          <w:p>
            <w:pPr>
              <w:pStyle w:val="20"/>
              <w:ind w:firstLine="0" w:firstLineChars="0"/>
              <w:jc w:val="both"/>
              <w:rPr>
                <w:rFonts w:ascii="宋体" w:hAnsi="宋体" w:eastAsia="宋体" w:cs="华文仿宋"/>
                <w:b w:val="0"/>
                <w:bCs w:val="0"/>
                <w:kern w:val="0"/>
                <w:sz w:val="20"/>
                <w:szCs w:val="20"/>
              </w:rPr>
            </w:pPr>
            <w:r>
              <w:rPr>
                <w:rFonts w:hint="eastAsia" w:ascii="宋体" w:hAnsi="宋体" w:eastAsia="宋体" w:cs="华文仿宋"/>
                <w:b w:val="0"/>
                <w:bCs w:val="0"/>
                <w:kern w:val="0"/>
                <w:sz w:val="20"/>
                <w:szCs w:val="20"/>
              </w:rPr>
              <w:t>支持功能：通用模块（资产清点、入侵检测、漏洞扫描、基线核查、异常行为审计、</w:t>
            </w:r>
            <w:r>
              <w:rPr>
                <w:rFonts w:hint="eastAsia" w:ascii="宋体" w:hAnsi="宋体" w:eastAsia="宋体" w:cs="华文仿宋"/>
                <w:b w:val="0"/>
                <w:bCs w:val="0"/>
                <w:kern w:val="0"/>
                <w:sz w:val="20"/>
                <w:szCs w:val="20"/>
                <w:lang w:val="en-US" w:eastAsia="zh-CN"/>
              </w:rPr>
              <w:t>微隔离</w:t>
            </w:r>
            <w:r>
              <w:rPr>
                <w:rFonts w:hint="eastAsia" w:ascii="宋体" w:hAnsi="宋体" w:eastAsia="宋体" w:cs="华文仿宋"/>
                <w:b w:val="0"/>
                <w:bCs w:val="0"/>
                <w:kern w:val="0"/>
                <w:sz w:val="20"/>
                <w:szCs w:val="20"/>
              </w:rPr>
              <w:t>+</w:t>
            </w:r>
            <w:r>
              <w:rPr>
                <w:rFonts w:hint="eastAsia" w:ascii="宋体" w:hAnsi="宋体" w:eastAsia="宋体" w:cs="华文仿宋"/>
                <w:b w:val="0"/>
                <w:bCs w:val="0"/>
                <w:kern w:val="0"/>
                <w:sz w:val="20"/>
                <w:szCs w:val="20"/>
                <w:lang w:val="en-US" w:eastAsia="zh-CN"/>
              </w:rPr>
              <w:t>本地杀毒</w:t>
            </w:r>
          </w:p>
        </w:tc>
        <w:tc>
          <w:tcPr>
            <w:tcW w:w="820"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1440元/端/年</w:t>
            </w:r>
          </w:p>
        </w:tc>
        <w:tc>
          <w:tcPr>
            <w:tcW w:w="862"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48" w:hRule="atLeast"/>
        </w:trPr>
        <w:tc>
          <w:tcPr>
            <w:tcW w:w="631"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c>
          <w:tcPr>
            <w:tcW w:w="609"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c>
          <w:tcPr>
            <w:tcW w:w="561"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服务器-旗舰版</w:t>
            </w:r>
          </w:p>
        </w:tc>
        <w:tc>
          <w:tcPr>
            <w:tcW w:w="1513" w:type="pct"/>
            <w:shd w:val="clear" w:color="auto" w:fill="FFFFFF" w:themeFill="background1"/>
            <w:vAlign w:val="center"/>
          </w:tcPr>
          <w:p>
            <w:pPr>
              <w:pStyle w:val="20"/>
              <w:ind w:firstLine="0" w:firstLineChars="0"/>
              <w:jc w:val="both"/>
              <w:rPr>
                <w:rFonts w:ascii="宋体" w:hAnsi="宋体" w:eastAsia="宋体" w:cs="华文仿宋"/>
                <w:b w:val="0"/>
                <w:bCs w:val="0"/>
                <w:kern w:val="0"/>
                <w:sz w:val="20"/>
                <w:szCs w:val="20"/>
              </w:rPr>
            </w:pPr>
            <w:r>
              <w:rPr>
                <w:rFonts w:hint="eastAsia" w:ascii="宋体" w:hAnsi="宋体" w:eastAsia="宋体" w:cs="华文仿宋"/>
                <w:b w:val="0"/>
                <w:bCs w:val="0"/>
                <w:kern w:val="0"/>
                <w:sz w:val="20"/>
                <w:szCs w:val="20"/>
              </w:rPr>
              <w:t>支持功能：通用模块（资产清点、入侵检测、漏洞扫描、基线核查、异常行为审计、</w:t>
            </w:r>
            <w:r>
              <w:rPr>
                <w:rFonts w:hint="eastAsia" w:ascii="宋体" w:hAnsi="宋体" w:eastAsia="宋体" w:cs="华文仿宋"/>
                <w:b w:val="0"/>
                <w:bCs w:val="0"/>
                <w:kern w:val="0"/>
                <w:sz w:val="20"/>
                <w:szCs w:val="20"/>
                <w:lang w:val="en-US" w:eastAsia="zh-CN"/>
              </w:rPr>
              <w:t>微隔离</w:t>
            </w:r>
            <w:r>
              <w:rPr>
                <w:rFonts w:hint="eastAsia" w:ascii="宋体" w:hAnsi="宋体" w:eastAsia="宋体" w:cs="华文仿宋"/>
                <w:b w:val="0"/>
                <w:bCs w:val="0"/>
                <w:kern w:val="0"/>
                <w:sz w:val="20"/>
                <w:szCs w:val="20"/>
                <w:lang w:eastAsia="zh-CN"/>
              </w:rPr>
              <w:t>、蜜罐</w:t>
            </w:r>
            <w:r>
              <w:rPr>
                <w:rFonts w:hint="eastAsia" w:ascii="宋体" w:hAnsi="宋体" w:eastAsia="宋体" w:cs="华文仿宋"/>
                <w:b w:val="0"/>
                <w:bCs w:val="0"/>
                <w:kern w:val="0"/>
                <w:sz w:val="20"/>
                <w:szCs w:val="20"/>
              </w:rPr>
              <w:t>+本地杀毒+容器运行时防护+RASP</w:t>
            </w:r>
          </w:p>
        </w:tc>
        <w:tc>
          <w:tcPr>
            <w:tcW w:w="820" w:type="pct"/>
            <w:shd w:val="clear" w:color="auto" w:fill="FFFFFF" w:themeFill="background1"/>
            <w:vAlign w:val="center"/>
          </w:tcPr>
          <w:p>
            <w:pPr>
              <w:pStyle w:val="20"/>
              <w:ind w:firstLine="0" w:firstLineChars="0"/>
              <w:jc w:val="center"/>
              <w:rPr>
                <w:rFonts w:ascii="宋体" w:hAnsi="宋体" w:eastAsia="宋体" w:cs="华文仿宋"/>
                <w:kern w:val="0"/>
                <w:sz w:val="20"/>
                <w:szCs w:val="20"/>
              </w:rPr>
            </w:pPr>
            <w:r>
              <w:rPr>
                <w:rFonts w:hint="eastAsia" w:ascii="宋体" w:hAnsi="宋体" w:eastAsia="宋体" w:cs="华文仿宋"/>
                <w:kern w:val="0"/>
                <w:sz w:val="20"/>
                <w:szCs w:val="20"/>
              </w:rPr>
              <w:t>1920元/端/年</w:t>
            </w:r>
          </w:p>
        </w:tc>
        <w:tc>
          <w:tcPr>
            <w:tcW w:w="862" w:type="pct"/>
            <w:vMerge w:val="continue"/>
            <w:shd w:val="clear" w:color="auto" w:fill="FFFFFF" w:themeFill="background1"/>
            <w:vAlign w:val="center"/>
          </w:tcPr>
          <w:p>
            <w:pPr>
              <w:pStyle w:val="20"/>
              <w:ind w:firstLine="0" w:firstLineChars="0"/>
              <w:jc w:val="center"/>
              <w:rPr>
                <w:rFonts w:ascii="宋体" w:hAnsi="宋体" w:eastAsia="宋体" w:cs="华文仿宋"/>
                <w:kern w:val="0"/>
                <w:sz w:val="20"/>
                <w:szCs w:val="20"/>
              </w:rPr>
            </w:pPr>
          </w:p>
        </w:tc>
      </w:tr>
    </w:tbl>
    <w:p>
      <w:pPr>
        <w:pStyle w:val="20"/>
        <w:spacing w:line="560" w:lineRule="exact"/>
        <w:ind w:left="420" w:firstLine="0" w:firstLineChars="0"/>
        <w:rPr>
          <w:rFonts w:ascii="楷体_GB2312" w:hAnsi="楷体_GB2312" w:eastAsia="楷体_GB2312" w:cs="楷体_GB2312"/>
          <w:sz w:val="32"/>
          <w:szCs w:val="32"/>
        </w:rPr>
      </w:pPr>
    </w:p>
    <w:p>
      <w:pPr>
        <w:pStyle w:val="3"/>
        <w:numPr>
          <w:ilvl w:val="0"/>
          <w:numId w:val="1"/>
        </w:numPr>
        <w:bidi w:val="0"/>
        <w:rPr>
          <w:rFonts w:hint="default" w:ascii="微软雅黑" w:hAnsi="微软雅黑" w:eastAsia="微软雅黑" w:cs="微软雅黑"/>
          <w:sz w:val="32"/>
          <w:szCs w:val="28"/>
          <w:lang w:val="en-US" w:eastAsia="zh-CN"/>
        </w:rPr>
      </w:pPr>
      <w:r>
        <w:rPr>
          <w:rFonts w:hint="eastAsia" w:ascii="微软雅黑" w:hAnsi="微软雅黑" w:eastAsia="微软雅黑" w:cs="微软雅黑"/>
          <w:sz w:val="32"/>
          <w:szCs w:val="28"/>
          <w:lang w:val="en-US" w:eastAsia="zh-CN"/>
        </w:rPr>
        <w:t>价格优惠政策</w:t>
      </w:r>
    </w:p>
    <w:p>
      <w:pPr>
        <w:numPr>
          <w:ilvl w:val="0"/>
          <w:numId w:val="3"/>
        </w:numPr>
        <w:spacing w:line="56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云镜主机安全提供免费试用30天的优惠政策，如维护客情关系需要，可适当延长。</w:t>
      </w:r>
    </w:p>
    <w:p>
      <w:pPr>
        <w:numPr>
          <w:ilvl w:val="0"/>
          <w:numId w:val="3"/>
        </w:numPr>
        <w:spacing w:line="56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营销过程中云镜主机安全标准资费基础上，最低可按</w:t>
      </w:r>
      <w:r>
        <w:rPr>
          <w:rFonts w:hint="eastAsia" w:ascii="宋体" w:hAnsi="宋体" w:eastAsia="宋体" w:cs="宋体"/>
          <w:b/>
          <w:bCs/>
          <w:sz w:val="24"/>
          <w:szCs w:val="24"/>
          <w:lang w:val="en-US" w:eastAsia="zh-CN"/>
        </w:rPr>
        <w:t>3</w:t>
      </w:r>
      <w:bookmarkStart w:id="2" w:name="_GoBack"/>
      <w:bookmarkEnd w:id="2"/>
      <w:r>
        <w:rPr>
          <w:rFonts w:hint="eastAsia" w:ascii="宋体" w:hAnsi="宋体" w:eastAsia="宋体" w:cs="宋体"/>
          <w:b/>
          <w:bCs/>
          <w:sz w:val="24"/>
          <w:szCs w:val="24"/>
          <w:lang w:val="en-US" w:eastAsia="zh-CN"/>
        </w:rPr>
        <w:t>折</w:t>
      </w:r>
      <w:r>
        <w:rPr>
          <w:rFonts w:hint="eastAsia" w:ascii="宋体" w:hAnsi="宋体" w:eastAsia="宋体" w:cs="宋体"/>
          <w:sz w:val="24"/>
          <w:szCs w:val="24"/>
          <w:lang w:val="en-US" w:eastAsia="zh-CN"/>
        </w:rPr>
        <w:t>进行销售。</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p>
  <w:sdt>
    <w:sdtPr>
      <w:id w:val="2143841862"/>
    </w:sdtPr>
    <w:sdtContent>
      <w:sdt>
        <w:sdtPr>
          <w:id w:val="1728636285"/>
        </w:sdtPr>
        <w:sdtContent>
          <w:p>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45</w:t>
            </w:r>
            <w:r>
              <w:rPr>
                <w:b/>
                <w:bCs/>
                <w:sz w:val="24"/>
                <w:szCs w:val="24"/>
              </w:rPr>
              <w:fldChar w:fldCharType="end"/>
            </w:r>
          </w:p>
        </w:sdtContent>
      </w:sdt>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06BCD6"/>
    <w:multiLevelType w:val="singleLevel"/>
    <w:tmpl w:val="B906BCD6"/>
    <w:lvl w:ilvl="0" w:tentative="0">
      <w:start w:val="1"/>
      <w:numFmt w:val="decimal"/>
      <w:lvlText w:val="%1."/>
      <w:lvlJc w:val="left"/>
      <w:pPr>
        <w:tabs>
          <w:tab w:val="left" w:pos="312"/>
        </w:tabs>
      </w:pPr>
    </w:lvl>
  </w:abstractNum>
  <w:abstractNum w:abstractNumId="1">
    <w:nsid w:val="67893778"/>
    <w:multiLevelType w:val="singleLevel"/>
    <w:tmpl w:val="67893778"/>
    <w:lvl w:ilvl="0" w:tentative="0">
      <w:start w:val="2"/>
      <w:numFmt w:val="chineseCounting"/>
      <w:suff w:val="nothing"/>
      <w:lvlText w:val="%1、"/>
      <w:lvlJc w:val="left"/>
      <w:rPr>
        <w:rFonts w:hint="eastAsia"/>
      </w:rPr>
    </w:lvl>
  </w:abstractNum>
  <w:abstractNum w:abstractNumId="2">
    <w:nsid w:val="79D92F78"/>
    <w:multiLevelType w:val="singleLevel"/>
    <w:tmpl w:val="79D92F78"/>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k0YjI4NDBiY2MxMzk0NTc4YzYyMzE3ZjhhZjNlMzcifQ=="/>
  </w:docVars>
  <w:rsids>
    <w:rsidRoot w:val="0059491F"/>
    <w:rsid w:val="00020CEE"/>
    <w:rsid w:val="00046507"/>
    <w:rsid w:val="001B0D3E"/>
    <w:rsid w:val="001B5143"/>
    <w:rsid w:val="00211DCF"/>
    <w:rsid w:val="00246CAD"/>
    <w:rsid w:val="00270D4E"/>
    <w:rsid w:val="00281179"/>
    <w:rsid w:val="00287531"/>
    <w:rsid w:val="002D5637"/>
    <w:rsid w:val="002E0C27"/>
    <w:rsid w:val="0031248C"/>
    <w:rsid w:val="00313BEA"/>
    <w:rsid w:val="00342B88"/>
    <w:rsid w:val="00351D25"/>
    <w:rsid w:val="00376AF8"/>
    <w:rsid w:val="00380414"/>
    <w:rsid w:val="00382D83"/>
    <w:rsid w:val="003A5786"/>
    <w:rsid w:val="003B7E18"/>
    <w:rsid w:val="003E799B"/>
    <w:rsid w:val="00433DBE"/>
    <w:rsid w:val="004352AA"/>
    <w:rsid w:val="004400D3"/>
    <w:rsid w:val="00455952"/>
    <w:rsid w:val="00535641"/>
    <w:rsid w:val="00550175"/>
    <w:rsid w:val="0056622E"/>
    <w:rsid w:val="00577427"/>
    <w:rsid w:val="0059491F"/>
    <w:rsid w:val="005D5B23"/>
    <w:rsid w:val="00636B40"/>
    <w:rsid w:val="0064295E"/>
    <w:rsid w:val="006603D0"/>
    <w:rsid w:val="00663A13"/>
    <w:rsid w:val="00676003"/>
    <w:rsid w:val="00695610"/>
    <w:rsid w:val="00725945"/>
    <w:rsid w:val="00763A11"/>
    <w:rsid w:val="00772320"/>
    <w:rsid w:val="007943F6"/>
    <w:rsid w:val="007C47AA"/>
    <w:rsid w:val="007F18C0"/>
    <w:rsid w:val="007F7657"/>
    <w:rsid w:val="00841292"/>
    <w:rsid w:val="00896A33"/>
    <w:rsid w:val="008B16F8"/>
    <w:rsid w:val="008B4BF7"/>
    <w:rsid w:val="008F7561"/>
    <w:rsid w:val="00922394"/>
    <w:rsid w:val="009D732A"/>
    <w:rsid w:val="00A10E95"/>
    <w:rsid w:val="00A243F4"/>
    <w:rsid w:val="00AB7482"/>
    <w:rsid w:val="00AB7BAF"/>
    <w:rsid w:val="00AE5785"/>
    <w:rsid w:val="00AF6949"/>
    <w:rsid w:val="00B14436"/>
    <w:rsid w:val="00B46ABB"/>
    <w:rsid w:val="00B659C5"/>
    <w:rsid w:val="00B751D5"/>
    <w:rsid w:val="00BC1608"/>
    <w:rsid w:val="00BD1106"/>
    <w:rsid w:val="00BF13D8"/>
    <w:rsid w:val="00C007E1"/>
    <w:rsid w:val="00C075F0"/>
    <w:rsid w:val="00C12264"/>
    <w:rsid w:val="00C15712"/>
    <w:rsid w:val="00CB7419"/>
    <w:rsid w:val="00CC04D6"/>
    <w:rsid w:val="00CE7BEC"/>
    <w:rsid w:val="00D32A7E"/>
    <w:rsid w:val="00D441FC"/>
    <w:rsid w:val="00DD7FD3"/>
    <w:rsid w:val="00E3627B"/>
    <w:rsid w:val="00E56A1A"/>
    <w:rsid w:val="00E77831"/>
    <w:rsid w:val="00ED22B3"/>
    <w:rsid w:val="00EE71C2"/>
    <w:rsid w:val="00F43717"/>
    <w:rsid w:val="00FA0ADD"/>
    <w:rsid w:val="01DD2E1B"/>
    <w:rsid w:val="022C641E"/>
    <w:rsid w:val="028E0A41"/>
    <w:rsid w:val="02C45698"/>
    <w:rsid w:val="031E4AAC"/>
    <w:rsid w:val="032E4D47"/>
    <w:rsid w:val="03600D99"/>
    <w:rsid w:val="03D76459"/>
    <w:rsid w:val="0431586E"/>
    <w:rsid w:val="04CD34EE"/>
    <w:rsid w:val="05344197"/>
    <w:rsid w:val="05EB5EC4"/>
    <w:rsid w:val="06320837"/>
    <w:rsid w:val="072B6851"/>
    <w:rsid w:val="07402F73"/>
    <w:rsid w:val="076C2B3D"/>
    <w:rsid w:val="07C56A4F"/>
    <w:rsid w:val="083A0C0C"/>
    <w:rsid w:val="0843731D"/>
    <w:rsid w:val="08882010"/>
    <w:rsid w:val="08A53B3F"/>
    <w:rsid w:val="08FD1FCF"/>
    <w:rsid w:val="09257910"/>
    <w:rsid w:val="09305CA1"/>
    <w:rsid w:val="097B289D"/>
    <w:rsid w:val="09806D25"/>
    <w:rsid w:val="0A1D4625"/>
    <w:rsid w:val="0A2E2341"/>
    <w:rsid w:val="0A320D47"/>
    <w:rsid w:val="0AFB6211"/>
    <w:rsid w:val="0B2E5767"/>
    <w:rsid w:val="0B8669FB"/>
    <w:rsid w:val="0BC301D9"/>
    <w:rsid w:val="0C1002D8"/>
    <w:rsid w:val="0C354C94"/>
    <w:rsid w:val="0CED4443"/>
    <w:rsid w:val="0D0D2779"/>
    <w:rsid w:val="0D953957"/>
    <w:rsid w:val="0E1D03B8"/>
    <w:rsid w:val="0E2B76CE"/>
    <w:rsid w:val="0E9512FB"/>
    <w:rsid w:val="0EFB3964"/>
    <w:rsid w:val="0F6E6A60"/>
    <w:rsid w:val="0F927F1A"/>
    <w:rsid w:val="102E361B"/>
    <w:rsid w:val="1031679E"/>
    <w:rsid w:val="118151C6"/>
    <w:rsid w:val="11E43BE6"/>
    <w:rsid w:val="122A215C"/>
    <w:rsid w:val="1285376F"/>
    <w:rsid w:val="12F108A0"/>
    <w:rsid w:val="13771DFE"/>
    <w:rsid w:val="1380270E"/>
    <w:rsid w:val="13D57C19"/>
    <w:rsid w:val="145D0DF7"/>
    <w:rsid w:val="14794EA4"/>
    <w:rsid w:val="15E24476"/>
    <w:rsid w:val="162E6AF4"/>
    <w:rsid w:val="163F6D8E"/>
    <w:rsid w:val="16AA643D"/>
    <w:rsid w:val="17492AC4"/>
    <w:rsid w:val="17592D5E"/>
    <w:rsid w:val="17692FF8"/>
    <w:rsid w:val="188C65D3"/>
    <w:rsid w:val="18904FD9"/>
    <w:rsid w:val="19173FB9"/>
    <w:rsid w:val="1A913825"/>
    <w:rsid w:val="1A9D50B9"/>
    <w:rsid w:val="1B477AD1"/>
    <w:rsid w:val="1B4951D2"/>
    <w:rsid w:val="1C87265B"/>
    <w:rsid w:val="1CA11007"/>
    <w:rsid w:val="1CFA299A"/>
    <w:rsid w:val="1DAE3742"/>
    <w:rsid w:val="1E1E7279"/>
    <w:rsid w:val="1E5828D6"/>
    <w:rsid w:val="1E5D6D5E"/>
    <w:rsid w:val="1E7F6019"/>
    <w:rsid w:val="1F125588"/>
    <w:rsid w:val="1F7D4C37"/>
    <w:rsid w:val="208E5D79"/>
    <w:rsid w:val="20ED3B94"/>
    <w:rsid w:val="20F1259A"/>
    <w:rsid w:val="20F60C21"/>
    <w:rsid w:val="20F95809"/>
    <w:rsid w:val="219707AA"/>
    <w:rsid w:val="21EB0234"/>
    <w:rsid w:val="221C4286"/>
    <w:rsid w:val="22451BC7"/>
    <w:rsid w:val="228935B5"/>
    <w:rsid w:val="22D55C33"/>
    <w:rsid w:val="23395957"/>
    <w:rsid w:val="24362377"/>
    <w:rsid w:val="24F12AAA"/>
    <w:rsid w:val="252B3B89"/>
    <w:rsid w:val="254E75C1"/>
    <w:rsid w:val="25B84A72"/>
    <w:rsid w:val="25E5683B"/>
    <w:rsid w:val="25E750F1"/>
    <w:rsid w:val="261B3491"/>
    <w:rsid w:val="263A6020"/>
    <w:rsid w:val="267B47B0"/>
    <w:rsid w:val="267E5734"/>
    <w:rsid w:val="26D74EC9"/>
    <w:rsid w:val="275A1C1F"/>
    <w:rsid w:val="27BC6441"/>
    <w:rsid w:val="28896A8E"/>
    <w:rsid w:val="28A63E40"/>
    <w:rsid w:val="29275693"/>
    <w:rsid w:val="29510A55"/>
    <w:rsid w:val="296D0386"/>
    <w:rsid w:val="2A755335"/>
    <w:rsid w:val="2AA61387"/>
    <w:rsid w:val="2B505F9D"/>
    <w:rsid w:val="2B866477"/>
    <w:rsid w:val="2BA20325"/>
    <w:rsid w:val="2CD33F1A"/>
    <w:rsid w:val="2DBB5C7F"/>
    <w:rsid w:val="2E2D764F"/>
    <w:rsid w:val="2E6E5EBA"/>
    <w:rsid w:val="2EE316FC"/>
    <w:rsid w:val="2EFA351F"/>
    <w:rsid w:val="2F342400"/>
    <w:rsid w:val="2F3E6592"/>
    <w:rsid w:val="2F424F98"/>
    <w:rsid w:val="30806B9E"/>
    <w:rsid w:val="308D1737"/>
    <w:rsid w:val="314978EC"/>
    <w:rsid w:val="318254C8"/>
    <w:rsid w:val="31B77F20"/>
    <w:rsid w:val="32CD1C66"/>
    <w:rsid w:val="33421C25"/>
    <w:rsid w:val="33535743"/>
    <w:rsid w:val="33843993"/>
    <w:rsid w:val="33B1355E"/>
    <w:rsid w:val="33B82EE9"/>
    <w:rsid w:val="33C259F7"/>
    <w:rsid w:val="33E85C36"/>
    <w:rsid w:val="340B4EF1"/>
    <w:rsid w:val="340B70F0"/>
    <w:rsid w:val="343A21BD"/>
    <w:rsid w:val="34C9402B"/>
    <w:rsid w:val="354016EB"/>
    <w:rsid w:val="35486AF7"/>
    <w:rsid w:val="35614329"/>
    <w:rsid w:val="35FC78A0"/>
    <w:rsid w:val="36370B9C"/>
    <w:rsid w:val="366175C4"/>
    <w:rsid w:val="36782A6C"/>
    <w:rsid w:val="36940D18"/>
    <w:rsid w:val="369467D6"/>
    <w:rsid w:val="371D31FA"/>
    <w:rsid w:val="37545239"/>
    <w:rsid w:val="3781549D"/>
    <w:rsid w:val="37961BBF"/>
    <w:rsid w:val="379B6047"/>
    <w:rsid w:val="37A778DB"/>
    <w:rsid w:val="37B449F3"/>
    <w:rsid w:val="38785A35"/>
    <w:rsid w:val="38DA69D3"/>
    <w:rsid w:val="393D31F5"/>
    <w:rsid w:val="3952265A"/>
    <w:rsid w:val="399F3299"/>
    <w:rsid w:val="3A1D3B67"/>
    <w:rsid w:val="3A3D661B"/>
    <w:rsid w:val="3A904DA0"/>
    <w:rsid w:val="3AB17C6F"/>
    <w:rsid w:val="3AD65514"/>
    <w:rsid w:val="3BAC7C11"/>
    <w:rsid w:val="3C292943"/>
    <w:rsid w:val="3C5E791A"/>
    <w:rsid w:val="3CC911C7"/>
    <w:rsid w:val="3D2D34F9"/>
    <w:rsid w:val="3E721583"/>
    <w:rsid w:val="3FB93A98"/>
    <w:rsid w:val="3FFD6B0B"/>
    <w:rsid w:val="406F5B46"/>
    <w:rsid w:val="40FA572A"/>
    <w:rsid w:val="41383010"/>
    <w:rsid w:val="41535DB8"/>
    <w:rsid w:val="419A7831"/>
    <w:rsid w:val="41C42BF4"/>
    <w:rsid w:val="42045BDC"/>
    <w:rsid w:val="42BF1B92"/>
    <w:rsid w:val="42DB5C3F"/>
    <w:rsid w:val="43557B07"/>
    <w:rsid w:val="43970571"/>
    <w:rsid w:val="44705CD5"/>
    <w:rsid w:val="4522137C"/>
    <w:rsid w:val="45FD6761"/>
    <w:rsid w:val="46240B9F"/>
    <w:rsid w:val="465C7DFF"/>
    <w:rsid w:val="466B4B97"/>
    <w:rsid w:val="473D70ED"/>
    <w:rsid w:val="47EB3D8E"/>
    <w:rsid w:val="47F5212F"/>
    <w:rsid w:val="48205161"/>
    <w:rsid w:val="48690DD9"/>
    <w:rsid w:val="48734F6C"/>
    <w:rsid w:val="48BF75E9"/>
    <w:rsid w:val="49FC6FF1"/>
    <w:rsid w:val="4A041E7F"/>
    <w:rsid w:val="4A077580"/>
    <w:rsid w:val="4A2026A9"/>
    <w:rsid w:val="4ABA3B32"/>
    <w:rsid w:val="4ACD6045"/>
    <w:rsid w:val="4B1F5E4F"/>
    <w:rsid w:val="4B3734F6"/>
    <w:rsid w:val="4B383175"/>
    <w:rsid w:val="4BB50541"/>
    <w:rsid w:val="4D310D32"/>
    <w:rsid w:val="4E53210E"/>
    <w:rsid w:val="4E856160"/>
    <w:rsid w:val="4F2A2171"/>
    <w:rsid w:val="4F9E46AF"/>
    <w:rsid w:val="4FA230B5"/>
    <w:rsid w:val="4FE75DA8"/>
    <w:rsid w:val="4FF727BF"/>
    <w:rsid w:val="50216109"/>
    <w:rsid w:val="5087462C"/>
    <w:rsid w:val="50C4668F"/>
    <w:rsid w:val="51A02B7A"/>
    <w:rsid w:val="51B46B1F"/>
    <w:rsid w:val="527B5D61"/>
    <w:rsid w:val="52C319D8"/>
    <w:rsid w:val="52CA5AE0"/>
    <w:rsid w:val="52ED4D9B"/>
    <w:rsid w:val="52FF0538"/>
    <w:rsid w:val="53005FBA"/>
    <w:rsid w:val="5389049C"/>
    <w:rsid w:val="53982CB5"/>
    <w:rsid w:val="53E57531"/>
    <w:rsid w:val="545455E7"/>
    <w:rsid w:val="5457656B"/>
    <w:rsid w:val="547A32A8"/>
    <w:rsid w:val="548051B1"/>
    <w:rsid w:val="54DD2120"/>
    <w:rsid w:val="55EE0C0B"/>
    <w:rsid w:val="55F1630D"/>
    <w:rsid w:val="5604532D"/>
    <w:rsid w:val="56106BC1"/>
    <w:rsid w:val="564F1F29"/>
    <w:rsid w:val="56501BA9"/>
    <w:rsid w:val="565902BA"/>
    <w:rsid w:val="5681017A"/>
    <w:rsid w:val="56B241CC"/>
    <w:rsid w:val="57374425"/>
    <w:rsid w:val="577F009D"/>
    <w:rsid w:val="578C3B2F"/>
    <w:rsid w:val="57BE68AA"/>
    <w:rsid w:val="57F6575D"/>
    <w:rsid w:val="580402F6"/>
    <w:rsid w:val="584B64EC"/>
    <w:rsid w:val="59E04384"/>
    <w:rsid w:val="5A0D28C9"/>
    <w:rsid w:val="5A4B01B0"/>
    <w:rsid w:val="5AB368DA"/>
    <w:rsid w:val="5AC13672"/>
    <w:rsid w:val="5B1F3A0B"/>
    <w:rsid w:val="5B5828EC"/>
    <w:rsid w:val="5BE61256"/>
    <w:rsid w:val="5BEC78DC"/>
    <w:rsid w:val="5BF96BF2"/>
    <w:rsid w:val="5CF24C0B"/>
    <w:rsid w:val="5D2508DD"/>
    <w:rsid w:val="5DE04894"/>
    <w:rsid w:val="5E45203A"/>
    <w:rsid w:val="5E743A82"/>
    <w:rsid w:val="5ECE0C99"/>
    <w:rsid w:val="5F3B5A4A"/>
    <w:rsid w:val="606F4B42"/>
    <w:rsid w:val="6072134A"/>
    <w:rsid w:val="60CE3C62"/>
    <w:rsid w:val="610C1548"/>
    <w:rsid w:val="612D1A7D"/>
    <w:rsid w:val="61302A02"/>
    <w:rsid w:val="623B63B7"/>
    <w:rsid w:val="630E4191"/>
    <w:rsid w:val="640721AA"/>
    <w:rsid w:val="65827499"/>
    <w:rsid w:val="65D43A20"/>
    <w:rsid w:val="65E76E3D"/>
    <w:rsid w:val="65F01CCB"/>
    <w:rsid w:val="66A8727B"/>
    <w:rsid w:val="66AC7E7F"/>
    <w:rsid w:val="66B87515"/>
    <w:rsid w:val="66D435C2"/>
    <w:rsid w:val="678768E9"/>
    <w:rsid w:val="679E2C8B"/>
    <w:rsid w:val="67B251AF"/>
    <w:rsid w:val="684E08B0"/>
    <w:rsid w:val="68511835"/>
    <w:rsid w:val="68CB5C7C"/>
    <w:rsid w:val="690F766A"/>
    <w:rsid w:val="6922410C"/>
    <w:rsid w:val="69293A97"/>
    <w:rsid w:val="695732E1"/>
    <w:rsid w:val="697B479A"/>
    <w:rsid w:val="6AAE7116"/>
    <w:rsid w:val="6AF15601"/>
    <w:rsid w:val="6B0A50F2"/>
    <w:rsid w:val="6B850073"/>
    <w:rsid w:val="6BEC459F"/>
    <w:rsid w:val="6BF02FA5"/>
    <w:rsid w:val="6C172E65"/>
    <w:rsid w:val="6CC61D04"/>
    <w:rsid w:val="6CE56D35"/>
    <w:rsid w:val="6D0240E7"/>
    <w:rsid w:val="6D7F1132"/>
    <w:rsid w:val="6DE25953"/>
    <w:rsid w:val="6DE333D5"/>
    <w:rsid w:val="6E4346F3"/>
    <w:rsid w:val="6EFF28A8"/>
    <w:rsid w:val="6F1B21D8"/>
    <w:rsid w:val="6F460A9E"/>
    <w:rsid w:val="6F670FD3"/>
    <w:rsid w:val="6F93311C"/>
    <w:rsid w:val="703B00B1"/>
    <w:rsid w:val="70431C3A"/>
    <w:rsid w:val="717D06BD"/>
    <w:rsid w:val="71A12E7C"/>
    <w:rsid w:val="71D83356"/>
    <w:rsid w:val="72005413"/>
    <w:rsid w:val="72453989"/>
    <w:rsid w:val="72827F6B"/>
    <w:rsid w:val="73222073"/>
    <w:rsid w:val="74042666"/>
    <w:rsid w:val="75BE41ED"/>
    <w:rsid w:val="75DC446A"/>
    <w:rsid w:val="76A806BB"/>
    <w:rsid w:val="76D05FFC"/>
    <w:rsid w:val="76FC5BC6"/>
    <w:rsid w:val="77345D20"/>
    <w:rsid w:val="784129DA"/>
    <w:rsid w:val="79042718"/>
    <w:rsid w:val="798F487B"/>
    <w:rsid w:val="79C96FDE"/>
    <w:rsid w:val="7A2455EA"/>
    <w:rsid w:val="7BC635A1"/>
    <w:rsid w:val="7BD37033"/>
    <w:rsid w:val="7C3F79E7"/>
    <w:rsid w:val="7CD249D8"/>
    <w:rsid w:val="7DD2457A"/>
    <w:rsid w:val="7DE22616"/>
    <w:rsid w:val="7E36681D"/>
    <w:rsid w:val="7E5747D4"/>
    <w:rsid w:val="7F5D1B03"/>
    <w:rsid w:val="7F7D23B8"/>
    <w:rsid w:val="7FAE0608"/>
    <w:rsid w:val="7FB76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spacing w:before="340" w:after="330" w:line="576" w:lineRule="auto"/>
      <w:outlineLvl w:val="0"/>
    </w:pPr>
    <w:rPr>
      <w:b/>
      <w:kern w:val="44"/>
      <w:sz w:val="44"/>
    </w:rPr>
  </w:style>
  <w:style w:type="paragraph" w:styleId="3">
    <w:name w:val="heading 2"/>
    <w:basedOn w:val="1"/>
    <w:next w:val="1"/>
    <w:link w:val="16"/>
    <w:unhideWhenUsed/>
    <w:qFormat/>
    <w:uiPriority w:val="0"/>
    <w:pPr>
      <w:keepNext/>
      <w:keepLines/>
      <w:spacing w:before="260" w:after="260" w:line="413" w:lineRule="auto"/>
      <w:jc w:val="left"/>
      <w:outlineLvl w:val="1"/>
    </w:pPr>
    <w:rPr>
      <w:rFonts w:ascii="Arial" w:hAnsi="Arial" w:eastAsia="华文仿宋"/>
      <w:b/>
      <w:sz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Balloon Text"/>
    <w:basedOn w:val="1"/>
    <w:link w:val="17"/>
    <w:qFormat/>
    <w:uiPriority w:val="0"/>
    <w:rPr>
      <w:sz w:val="18"/>
      <w:szCs w:val="18"/>
    </w:rPr>
  </w:style>
  <w:style w:type="paragraph" w:styleId="6">
    <w:name w:val="footer"/>
    <w:basedOn w:val="1"/>
    <w:link w:val="18"/>
    <w:qFormat/>
    <w:uiPriority w:val="99"/>
    <w:pPr>
      <w:tabs>
        <w:tab w:val="center" w:pos="4153"/>
        <w:tab w:val="right" w:pos="8306"/>
      </w:tabs>
      <w:snapToGrid w:val="0"/>
      <w:jc w:val="left"/>
    </w:pPr>
    <w:rPr>
      <w:sz w:val="18"/>
      <w:szCs w:val="18"/>
    </w:rPr>
  </w:style>
  <w:style w:type="paragraph" w:styleId="7">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paragraph" w:styleId="10">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customStyle="1" w:styleId="15">
    <w:name w:val="标题 1 字符"/>
    <w:basedOn w:val="13"/>
    <w:link w:val="2"/>
    <w:qFormat/>
    <w:uiPriority w:val="0"/>
    <w:rPr>
      <w:b/>
      <w:kern w:val="44"/>
      <w:sz w:val="44"/>
      <w:szCs w:val="24"/>
    </w:rPr>
  </w:style>
  <w:style w:type="character" w:customStyle="1" w:styleId="16">
    <w:name w:val="标题 2 字符"/>
    <w:basedOn w:val="13"/>
    <w:link w:val="3"/>
    <w:qFormat/>
    <w:uiPriority w:val="0"/>
    <w:rPr>
      <w:rFonts w:ascii="Arial" w:hAnsi="Arial" w:eastAsia="华文仿宋"/>
      <w:b/>
      <w:sz w:val="28"/>
      <w:szCs w:val="24"/>
    </w:rPr>
  </w:style>
  <w:style w:type="character" w:customStyle="1" w:styleId="17">
    <w:name w:val="批注框文本 字符"/>
    <w:basedOn w:val="13"/>
    <w:link w:val="5"/>
    <w:qFormat/>
    <w:uiPriority w:val="0"/>
    <w:rPr>
      <w:sz w:val="18"/>
      <w:szCs w:val="18"/>
    </w:rPr>
  </w:style>
  <w:style w:type="character" w:customStyle="1" w:styleId="18">
    <w:name w:val="页脚 字符"/>
    <w:basedOn w:val="13"/>
    <w:link w:val="6"/>
    <w:qFormat/>
    <w:uiPriority w:val="99"/>
    <w:rPr>
      <w:sz w:val="18"/>
      <w:szCs w:val="18"/>
    </w:rPr>
  </w:style>
  <w:style w:type="character" w:customStyle="1" w:styleId="19">
    <w:name w:val="页眉 字符"/>
    <w:basedOn w:val="13"/>
    <w:link w:val="7"/>
    <w:qFormat/>
    <w:uiPriority w:val="0"/>
    <w:rPr>
      <w:sz w:val="18"/>
      <w:szCs w:val="18"/>
    </w:rPr>
  </w:style>
  <w:style w:type="paragraph" w:customStyle="1" w:styleId="20">
    <w:name w:val="列表段落1"/>
    <w:basedOn w:val="1"/>
    <w:qFormat/>
    <w:uiPriority w:val="0"/>
    <w:pPr>
      <w:ind w:firstLine="420" w:firstLineChars="200"/>
    </w:pPr>
  </w:style>
  <w:style w:type="paragraph" w:styleId="21">
    <w:name w:val="List Paragraph"/>
    <w:basedOn w:val="1"/>
    <w:qFormat/>
    <w:uiPriority w:val="34"/>
    <w:pPr>
      <w:ind w:firstLine="420" w:firstLineChars="200"/>
    </w:pPr>
  </w:style>
  <w:style w:type="paragraph" w:customStyle="1" w:styleId="22">
    <w:name w:val="列表段落2"/>
    <w:basedOn w:val="1"/>
    <w:qFormat/>
    <w:uiPriority w:val="34"/>
    <w:pPr>
      <w:ind w:firstLine="420" w:firstLineChars="200"/>
    </w:pPr>
  </w:style>
  <w:style w:type="character" w:customStyle="1" w:styleId="23">
    <w:name w:val="font11"/>
    <w:basedOn w:val="13"/>
    <w:qFormat/>
    <w:uiPriority w:val="0"/>
    <w:rPr>
      <w:rFonts w:hint="eastAsia" w:ascii="等线" w:hAnsi="等线" w:eastAsia="等线" w:cs="等线"/>
      <w:color w:val="000000"/>
      <w:sz w:val="22"/>
      <w:szCs w:val="22"/>
      <w:u w:val="none"/>
    </w:rPr>
  </w:style>
  <w:style w:type="character" w:customStyle="1" w:styleId="24">
    <w:name w:val="font31"/>
    <w:basedOn w:val="13"/>
    <w:qFormat/>
    <w:uiPriority w:val="0"/>
    <w:rPr>
      <w:rFonts w:ascii="宋体" w:hAnsi="宋体" w:eastAsia="宋体" w:cs="宋体"/>
      <w:color w:val="000000"/>
      <w:sz w:val="22"/>
      <w:szCs w:val="22"/>
      <w:u w:val="none"/>
    </w:rPr>
  </w:style>
  <w:style w:type="paragraph" w:customStyle="1" w:styleId="25">
    <w:name w:val="修订1"/>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1294</Words>
  <Characters>1361</Characters>
  <Lines>9</Lines>
  <Paragraphs>2</Paragraphs>
  <TotalTime>41</TotalTime>
  <ScaleCrop>false</ScaleCrop>
  <LinksUpToDate>false</LinksUpToDate>
  <CharactersWithSpaces>1364</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2023-11-28T06:12:00Z</dcterms:created>
  <dc:creator>mh jiang</dc:creator>
  <cp:lastModifiedBy>34575</cp:lastModifiedBy>
  <dcterms:modified xsi:type="dcterms:W3CDTF">2025-09-10T09:20:03Z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8AF6490B3ED34428B881E65549BC4E54_13</vt:lpwstr>
  </property>
</Properties>
</file>