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8EBC4" w14:textId="775B7003" w:rsidR="00AF4E1A" w:rsidRPr="004C04B5" w:rsidRDefault="00BB5205">
      <w:pPr>
        <w:rPr>
          <w:color w:val="FFFFFF" w:themeColor="background1"/>
          <w:sz w:val="48"/>
        </w:rPr>
      </w:pPr>
      <w:r w:rsidRPr="004C04B5">
        <w:rPr>
          <w:noProof/>
          <w:color w:val="FFFFFF" w:themeColor="background1"/>
          <w:sz w:val="48"/>
        </w:rPr>
        <mc:AlternateContent>
          <mc:Choice Requires="wps">
            <w:drawing>
              <wp:anchor distT="0" distB="0" distL="114300" distR="114300" simplePos="0" relativeHeight="251658240" behindDoc="1" locked="0" layoutInCell="1" allowOverlap="1" wp14:anchorId="1662B211" wp14:editId="7BDC258B">
                <wp:simplePos x="0" y="0"/>
                <wp:positionH relativeFrom="page">
                  <wp:align>left</wp:align>
                </wp:positionH>
                <wp:positionV relativeFrom="page">
                  <wp:align>top</wp:align>
                </wp:positionV>
                <wp:extent cx="7790688" cy="10113264"/>
                <wp:effectExtent l="0" t="0" r="20320" b="21590"/>
                <wp:wrapNone/>
                <wp:docPr id="3" name="Rectangle 3"/>
                <wp:cNvGraphicFramePr/>
                <a:graphic xmlns:a="http://schemas.openxmlformats.org/drawingml/2006/main">
                  <a:graphicData uri="http://schemas.microsoft.com/office/word/2010/wordprocessingShape">
                    <wps:wsp>
                      <wps:cNvSpPr/>
                      <wps:spPr>
                        <a:xfrm>
                          <a:off x="0" y="0"/>
                          <a:ext cx="7790688" cy="10113264"/>
                        </a:xfrm>
                        <a:prstGeom prst="rect">
                          <a:avLst/>
                        </a:prstGeom>
                        <a:solidFill>
                          <a:srgbClr val="00158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6C4F5" id="Rectangle 3" o:spid="_x0000_s1026" style="position:absolute;margin-left:0;margin-top:0;width:613.45pt;height:796.3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" fillcolor="#001580" strokecolor="#1f4d78 [1604]" strokeweight="1pt">
                <v:textbox inset="0,0,0,0"/>
                <w10:wrap anchorx="page" anchory="page"/>
              </v:rect>
            </w:pict>
          </mc:Fallback>
        </mc:AlternateContent>
      </w:r>
      <w:r w:rsidR="00AF4E1A" w:rsidRPr="004C04B5">
        <w:rPr>
          <w:noProof/>
        </w:rPr>
        <w:drawing>
          <wp:anchor distT="0" distB="0" distL="114300" distR="114300" simplePos="0" relativeHeight="251658245" behindDoc="1" locked="0" layoutInCell="1" allowOverlap="1" wp14:anchorId="187BBBEF" wp14:editId="4B676C38">
            <wp:simplePos x="0" y="0"/>
            <wp:positionH relativeFrom="margin">
              <wp:posOffset>-228600</wp:posOffset>
            </wp:positionH>
            <wp:positionV relativeFrom="page">
              <wp:posOffset>853440</wp:posOffset>
            </wp:positionV>
            <wp:extent cx="2375535" cy="873125"/>
            <wp:effectExtent l="0" t="0" r="0" b="0"/>
            <wp:wrapNone/>
            <wp:docPr id="6" name="Picture 6" descr="C:\Users\daniel.fletcher\AppData\Local\Microsoft\Windows\INetCacheContent.Word\MSFT_logo_rgb_C-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fletcher\AppData\Local\Microsoft\Windows\INetCacheContent.Word\MSFT_logo_rgb_C-Wh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5535" cy="873125"/>
                    </a:xfrm>
                    <a:prstGeom prst="rect">
                      <a:avLst/>
                    </a:prstGeom>
                    <a:noFill/>
                    <a:ln>
                      <a:noFill/>
                    </a:ln>
                  </pic:spPr>
                </pic:pic>
              </a:graphicData>
            </a:graphic>
          </wp:anchor>
        </w:drawing>
      </w:r>
    </w:p>
    <w:p w14:paraId="177581F4" w14:textId="77777777" w:rsidR="00AF4E1A" w:rsidRPr="004C04B5" w:rsidRDefault="00AF4E1A"/>
    <w:p w14:paraId="54D425EF" w14:textId="0748FEDA" w:rsidR="00BB5205" w:rsidRPr="004C04B5" w:rsidRDefault="00BB5205" w:rsidP="00BB5205"/>
    <w:p w14:paraId="235D7224" w14:textId="77777777" w:rsidR="00BB5205" w:rsidRPr="004C04B5" w:rsidRDefault="00BB5205" w:rsidP="00BB5205"/>
    <w:p w14:paraId="5691C761" w14:textId="77777777" w:rsidR="00BB5205" w:rsidRPr="004C04B5" w:rsidRDefault="00BB5205" w:rsidP="00BB5205"/>
    <w:p w14:paraId="510ABD8D" w14:textId="77777777" w:rsidR="00BB5205" w:rsidRPr="004C04B5" w:rsidRDefault="00BB5205" w:rsidP="00BB5205"/>
    <w:p w14:paraId="64ACC985" w14:textId="77777777" w:rsidR="00BB5205" w:rsidRPr="004C04B5" w:rsidRDefault="00BB5205" w:rsidP="00BB5205">
      <w:pPr>
        <w:rPr>
          <w:color w:val="FFFFFF" w:themeColor="background1"/>
          <w:sz w:val="48"/>
        </w:rPr>
      </w:pPr>
    </w:p>
    <w:p w14:paraId="248CA10C" w14:textId="24058F1C" w:rsidR="00CE1F32" w:rsidRPr="004C04B5" w:rsidRDefault="003A5DD6">
      <w:pPr>
        <w:rPr>
          <w:color w:val="FFFFFF" w:themeColor="background1"/>
          <w:sz w:val="44"/>
        </w:rPr>
      </w:pPr>
      <w:r w:rsidRPr="004C04B5">
        <w:rPr>
          <w:color w:val="FFFFFF" w:themeColor="background1"/>
          <w:sz w:val="44"/>
        </w:rPr>
        <w:t xml:space="preserve">Microsoft General Data Protection </w:t>
      </w:r>
      <w:r w:rsidR="00133538" w:rsidRPr="004C04B5">
        <w:rPr>
          <w:color w:val="FFFFFF" w:themeColor="background1"/>
          <w:sz w:val="44"/>
        </w:rPr>
        <w:t>Regulation</w:t>
      </w:r>
      <w:r w:rsidR="004A6F9B" w:rsidRPr="004C04B5">
        <w:rPr>
          <w:color w:val="FFFFFF" w:themeColor="background1"/>
          <w:sz w:val="44"/>
        </w:rPr>
        <w:t xml:space="preserve"> -</w:t>
      </w:r>
      <w:r w:rsidR="00133538" w:rsidRPr="004C04B5">
        <w:rPr>
          <w:color w:val="FFFFFF" w:themeColor="background1"/>
          <w:sz w:val="44"/>
        </w:rPr>
        <w:t xml:space="preserve"> </w:t>
      </w:r>
      <w:r w:rsidRPr="004C04B5">
        <w:rPr>
          <w:color w:val="FFFFFF" w:themeColor="background1"/>
          <w:sz w:val="44"/>
        </w:rPr>
        <w:t xml:space="preserve"> Detailed Assessment</w:t>
      </w:r>
    </w:p>
    <w:p w14:paraId="2EB86D9D" w14:textId="5F4CAC8D" w:rsidR="003A5DD6" w:rsidRPr="004C04B5" w:rsidRDefault="003A5DD6">
      <w:pPr>
        <w:rPr>
          <w:color w:val="FFFFFF" w:themeColor="background1"/>
          <w:sz w:val="44"/>
        </w:rPr>
      </w:pPr>
    </w:p>
    <w:p w14:paraId="2D0617E9" w14:textId="2A12EC92" w:rsidR="00BB5205" w:rsidRPr="004C04B5" w:rsidRDefault="00032C5A" w:rsidP="00BB5205">
      <w:pPr>
        <w:rPr>
          <w:color w:val="FFFFFF" w:themeColor="background1"/>
          <w:sz w:val="48"/>
        </w:rPr>
      </w:pPr>
      <w:r w:rsidRPr="004C04B5">
        <w:rPr>
          <w:color w:val="FFFFFF" w:themeColor="background1"/>
          <w:sz w:val="44"/>
        </w:rPr>
        <w:t>Statement of Work</w:t>
      </w:r>
      <w:r w:rsidR="00133538" w:rsidRPr="004C04B5">
        <w:rPr>
          <w:color w:val="FFFFFF" w:themeColor="background1"/>
          <w:sz w:val="44"/>
        </w:rPr>
        <w:t xml:space="preserve"> v</w:t>
      </w:r>
      <w:r w:rsidR="00CD15F5">
        <w:rPr>
          <w:color w:val="FFFFFF" w:themeColor="background1"/>
          <w:sz w:val="44"/>
        </w:rPr>
        <w:t>3</w:t>
      </w:r>
      <w:r w:rsidR="00A401EE" w:rsidRPr="004C04B5">
        <w:rPr>
          <w:color w:val="FFFFFF" w:themeColor="background1"/>
          <w:sz w:val="44"/>
        </w:rPr>
        <w:t xml:space="preserve"> – </w:t>
      </w:r>
      <w:r w:rsidR="00CD15F5">
        <w:rPr>
          <w:color w:val="FFFFFF" w:themeColor="background1"/>
          <w:sz w:val="44"/>
        </w:rPr>
        <w:t>March</w:t>
      </w:r>
      <w:r w:rsidR="00A401EE" w:rsidRPr="004C04B5">
        <w:rPr>
          <w:color w:val="FFFFFF" w:themeColor="background1"/>
          <w:sz w:val="44"/>
        </w:rPr>
        <w:t xml:space="preserve"> 201</w:t>
      </w:r>
      <w:r w:rsidRPr="004C04B5">
        <w:rPr>
          <w:color w:val="FFFFFF" w:themeColor="background1"/>
          <w:sz w:val="44"/>
        </w:rPr>
        <w:t>8</w:t>
      </w:r>
    </w:p>
    <w:p w14:paraId="7A756B2B" w14:textId="667E5994" w:rsidR="00CE1F32" w:rsidRPr="004C04B5" w:rsidRDefault="00AB3CC5" w:rsidP="00BB5205">
      <w:r w:rsidRPr="004C04B5">
        <w:t xml:space="preserve"> </w:t>
      </w:r>
      <w:r w:rsidR="00800D13" w:rsidRPr="004C04B5">
        <w:tab/>
      </w:r>
    </w:p>
    <w:p w14:paraId="727FEDE3" w14:textId="08ECD84F" w:rsidR="00225A20" w:rsidRPr="004C04B5" w:rsidRDefault="00CD15F5" w:rsidP="00225A20">
      <w:r w:rsidRPr="00C01D53">
        <w:rPr>
          <w:rStyle w:val="Hyperlink"/>
          <w:noProof/>
          <w:highlight w:val="darkGray"/>
        </w:rPr>
        <mc:AlternateContent>
          <mc:Choice Requires="wps">
            <w:drawing>
              <wp:anchor distT="45720" distB="45720" distL="114300" distR="114300" simplePos="0" relativeHeight="251662341" behindDoc="0" locked="0" layoutInCell="1" allowOverlap="1" wp14:anchorId="54543D3F" wp14:editId="405924D1">
                <wp:simplePos x="0" y="0"/>
                <wp:positionH relativeFrom="column">
                  <wp:posOffset>1800225</wp:posOffset>
                </wp:positionH>
                <wp:positionV relativeFrom="paragraph">
                  <wp:posOffset>10160</wp:posOffset>
                </wp:positionV>
                <wp:extent cx="3248025" cy="2047875"/>
                <wp:effectExtent l="0" t="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2047875"/>
                        </a:xfrm>
                        <a:prstGeom prst="rect">
                          <a:avLst/>
                        </a:prstGeom>
                        <a:solidFill>
                          <a:srgbClr val="FFFFFF"/>
                        </a:solidFill>
                        <a:ln w="9525">
                          <a:solidFill>
                            <a:srgbClr val="FF0000"/>
                          </a:solidFill>
                          <a:miter lim="800000"/>
                          <a:headEnd/>
                          <a:tailEnd/>
                        </a:ln>
                      </wps:spPr>
                      <wps:txbx>
                        <w:txbxContent>
                          <w:p w14:paraId="2BA9A2AB" w14:textId="77777777" w:rsidR="00CD15F5" w:rsidRPr="00CD15F5" w:rsidRDefault="00CD15F5" w:rsidP="00CD15F5">
                            <w:pPr>
                              <w:jc w:val="center"/>
                              <w:rPr>
                                <w:b/>
                                <w:color w:val="FF0000"/>
                                <w:u w:val="single"/>
                              </w:rPr>
                            </w:pPr>
                            <w:r w:rsidRPr="00CD15F5">
                              <w:rPr>
                                <w:b/>
                                <w:color w:val="FF0000"/>
                                <w:u w:val="single"/>
                              </w:rPr>
                              <w:t>TEMPLATE</w:t>
                            </w:r>
                          </w:p>
                          <w:p w14:paraId="4F7F9466" w14:textId="063EA0C0" w:rsidR="00C01D53" w:rsidRPr="00C01D53" w:rsidRDefault="00C01D53" w:rsidP="00C01D53">
                            <w:pPr>
                              <w:jc w:val="both"/>
                              <w:rPr>
                                <w:b/>
                                <w:color w:val="FF0000"/>
                              </w:rPr>
                            </w:pPr>
                            <w:r w:rsidRPr="00C01D53">
                              <w:rPr>
                                <w:b/>
                                <w:color w:val="FF0000"/>
                              </w:rPr>
                              <w:t>This document is intended to be used as a starting point (template) to help you create a Statement of Work for the GDPR Detailed Assessment.</w:t>
                            </w:r>
                          </w:p>
                          <w:p w14:paraId="326AD4B0" w14:textId="77777777" w:rsidR="009E5F57" w:rsidRDefault="009E5F57" w:rsidP="00C01D53">
                            <w:pPr>
                              <w:jc w:val="both"/>
                              <w:rPr>
                                <w:b/>
                                <w:color w:val="FF0000"/>
                              </w:rPr>
                            </w:pPr>
                            <w:r>
                              <w:rPr>
                                <w:b/>
                                <w:color w:val="FF0000"/>
                              </w:rPr>
                              <w:t xml:space="preserve">This text box </w:t>
                            </w:r>
                            <w:r w:rsidR="00C01D53" w:rsidRPr="00C01D53">
                              <w:rPr>
                                <w:b/>
                                <w:color w:val="FF0000"/>
                              </w:rPr>
                              <w:t>should be removed upon completion</w:t>
                            </w:r>
                            <w:r w:rsidR="00C01D53">
                              <w:rPr>
                                <w:b/>
                                <w:color w:val="FF0000"/>
                              </w:rPr>
                              <w:t xml:space="preserve">. </w:t>
                            </w:r>
                          </w:p>
                          <w:p w14:paraId="6C6CEE3C" w14:textId="6E25924F" w:rsidR="00C01D53" w:rsidRPr="00C01D53" w:rsidRDefault="00C01D53" w:rsidP="00C01D53">
                            <w:pPr>
                              <w:jc w:val="both"/>
                              <w:rPr>
                                <w:b/>
                                <w:color w:val="FF0000"/>
                              </w:rPr>
                            </w:pPr>
                            <w:r>
                              <w:rPr>
                                <w:b/>
                                <w:color w:val="FF0000"/>
                              </w:rPr>
                              <w:t>(Select the text box and click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543D3F" id="_x0000_t202" coordsize="21600,21600" o:spt="202" path="m,l,21600r21600,l21600,xe">
                <v:stroke joinstyle="miter"/>
                <v:path gradientshapeok="t" o:connecttype="rect"/>
              </v:shapetype>
              <v:shape id="Text Box 2" o:spid="_x0000_s1026" type="#_x0000_t202" style="position:absolute;margin-left:141.75pt;margin-top:.8pt;width:255.75pt;height:161.25pt;z-index:2516623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" strokecolor="red">
                <v:textbox>
                  <w:txbxContent>
                    <w:p w14:paraId="2BA9A2AB" w14:textId="77777777" w:rsidR="00CD15F5" w:rsidRPr="00CD15F5" w:rsidRDefault="00CD15F5" w:rsidP="00CD15F5">
                      <w:pPr>
                        <w:jc w:val="center"/>
                        <w:rPr>
                          <w:b/>
                          <w:color w:val="FF0000"/>
                          <w:u w:val="single"/>
                        </w:rPr>
                      </w:pPr>
                      <w:r w:rsidRPr="00CD15F5">
                        <w:rPr>
                          <w:b/>
                          <w:color w:val="FF0000"/>
                          <w:u w:val="single"/>
                        </w:rPr>
                        <w:t>TEMPLATE</w:t>
                      </w:r>
                    </w:p>
                    <w:p w14:paraId="4F7F9466" w14:textId="063EA0C0" w:rsidR="00C01D53" w:rsidRPr="00C01D53" w:rsidRDefault="00C01D53" w:rsidP="00C01D53">
                      <w:pPr>
                        <w:jc w:val="both"/>
                        <w:rPr>
                          <w:b/>
                          <w:color w:val="FF0000"/>
                        </w:rPr>
                      </w:pPr>
                      <w:r w:rsidRPr="00C01D53">
                        <w:rPr>
                          <w:b/>
                          <w:color w:val="FF0000"/>
                        </w:rPr>
                        <w:t>This document is intended to be used as a starting point (template) to help you create a Statement of Work for the GDPR Detailed Assessment.</w:t>
                      </w:r>
                    </w:p>
                    <w:p w14:paraId="326AD4B0" w14:textId="77777777" w:rsidR="009E5F57" w:rsidRDefault="009E5F57" w:rsidP="00C01D53">
                      <w:pPr>
                        <w:jc w:val="both"/>
                        <w:rPr>
                          <w:b/>
                          <w:color w:val="FF0000"/>
                        </w:rPr>
                      </w:pPr>
                      <w:r>
                        <w:rPr>
                          <w:b/>
                          <w:color w:val="FF0000"/>
                        </w:rPr>
                        <w:t xml:space="preserve">This text box </w:t>
                      </w:r>
                      <w:r w:rsidR="00C01D53" w:rsidRPr="00C01D53">
                        <w:rPr>
                          <w:b/>
                          <w:color w:val="FF0000"/>
                        </w:rPr>
                        <w:t>should be removed upon completion</w:t>
                      </w:r>
                      <w:r w:rsidR="00C01D53">
                        <w:rPr>
                          <w:b/>
                          <w:color w:val="FF0000"/>
                        </w:rPr>
                        <w:t xml:space="preserve">. </w:t>
                      </w:r>
                    </w:p>
                    <w:p w14:paraId="6C6CEE3C" w14:textId="6E25924F" w:rsidR="00C01D53" w:rsidRPr="00C01D53" w:rsidRDefault="00C01D53" w:rsidP="00C01D53">
                      <w:pPr>
                        <w:jc w:val="both"/>
                        <w:rPr>
                          <w:b/>
                          <w:color w:val="FF0000"/>
                        </w:rPr>
                      </w:pPr>
                      <w:r>
                        <w:rPr>
                          <w:b/>
                          <w:color w:val="FF0000"/>
                        </w:rPr>
                        <w:t>(Select the text box and click delete)</w:t>
                      </w:r>
                    </w:p>
                  </w:txbxContent>
                </v:textbox>
              </v:shape>
            </w:pict>
          </mc:Fallback>
        </mc:AlternateContent>
      </w:r>
    </w:p>
    <w:p w14:paraId="21E3B35E" w14:textId="04E2B956" w:rsidR="00225A20" w:rsidRPr="004C04B5" w:rsidRDefault="009A6491" w:rsidP="00BB5205">
      <w:r w:rsidRPr="004C04B5">
        <w:tab/>
      </w:r>
    </w:p>
    <w:p w14:paraId="0512637A" w14:textId="0E1A631D" w:rsidR="00225A20" w:rsidRPr="004C04B5" w:rsidRDefault="00225A20" w:rsidP="00225A20"/>
    <w:p w14:paraId="51601190" w14:textId="38A30E49" w:rsidR="009A6491" w:rsidRPr="004C04B5" w:rsidRDefault="00F73193" w:rsidP="00BB5205">
      <w:pPr>
        <w:rPr>
          <w:sz w:val="10"/>
          <w:szCs w:val="10"/>
        </w:rPr>
      </w:pPr>
      <w:r w:rsidRPr="004C04B5">
        <w:tab/>
      </w:r>
    </w:p>
    <w:p w14:paraId="1CD30188" w14:textId="276377C0" w:rsidR="009A6491" w:rsidRPr="004C04B5" w:rsidRDefault="009A6491" w:rsidP="00225A20"/>
    <w:p w14:paraId="15409E8E" w14:textId="1C489E37" w:rsidR="009A6491" w:rsidRPr="004C04B5" w:rsidRDefault="009A6491" w:rsidP="009A6491"/>
    <w:p w14:paraId="48421207" w14:textId="79C5A30C" w:rsidR="009A6491" w:rsidRPr="004C04B5" w:rsidRDefault="009A6491" w:rsidP="00225A20"/>
    <w:p w14:paraId="2FD6FAF5" w14:textId="28CA257D" w:rsidR="009A6491" w:rsidRPr="004C04B5" w:rsidRDefault="009A6491" w:rsidP="00225A20"/>
    <w:p w14:paraId="65111936" w14:textId="520DA304" w:rsidR="009A6491" w:rsidRPr="004C04B5" w:rsidRDefault="009A6491" w:rsidP="00225A20"/>
    <w:p w14:paraId="3ED83AE3" w14:textId="402A372C" w:rsidR="009A6491" w:rsidRPr="004C04B5" w:rsidRDefault="003A5DD6" w:rsidP="005B2F41">
      <w:pPr>
        <w:rPr>
          <w:color w:val="FFFFFF" w:themeColor="background1"/>
          <w:sz w:val="36"/>
        </w:rPr>
      </w:pPr>
      <w:r w:rsidRPr="004C04B5">
        <w:rPr>
          <w:color w:val="FFFFFF" w:themeColor="background1"/>
          <w:sz w:val="36"/>
        </w:rPr>
        <w:t>microsoft.com/</w:t>
      </w:r>
      <w:proofErr w:type="spellStart"/>
      <w:r w:rsidRPr="004C04B5">
        <w:rPr>
          <w:color w:val="FFFFFF" w:themeColor="background1"/>
          <w:sz w:val="36"/>
        </w:rPr>
        <w:t>gdpr</w:t>
      </w:r>
      <w:proofErr w:type="spellEnd"/>
    </w:p>
    <w:sdt>
      <w:sdtPr>
        <w:rPr>
          <w:rFonts w:ascii="Segoe UI" w:eastAsiaTheme="minorEastAsia" w:hAnsi="Segoe UI" w:cs="Segoe UI"/>
          <w:color w:val="auto"/>
          <w:sz w:val="22"/>
          <w:szCs w:val="22"/>
          <w:lang w:eastAsia="ja-JP"/>
        </w:rPr>
        <w:id w:val="979266907"/>
        <w:docPartObj>
          <w:docPartGallery w:val="Table of Contents"/>
          <w:docPartUnique/>
        </w:docPartObj>
      </w:sdtPr>
      <w:sdtEndPr/>
      <w:sdtContent>
        <w:p w14:paraId="7F50203A" w14:textId="1CD7C863" w:rsidR="00D05D51" w:rsidRPr="004C04B5" w:rsidRDefault="00D05D51">
          <w:pPr>
            <w:pStyle w:val="TOCHeading"/>
          </w:pPr>
          <w:r w:rsidRPr="004C04B5">
            <w:t>Table of Contents</w:t>
          </w:r>
        </w:p>
        <w:p w14:paraId="2E039708" w14:textId="7ECAE707" w:rsidR="00CD15F5" w:rsidRDefault="00D05D51">
          <w:pPr>
            <w:pStyle w:val="TOC1"/>
            <w:tabs>
              <w:tab w:val="right" w:leader="dot" w:pos="9350"/>
            </w:tabs>
            <w:rPr>
              <w:rFonts w:asciiTheme="minorHAnsi" w:hAnsiTheme="minorHAnsi" w:cstheme="minorBidi"/>
              <w:noProof/>
              <w:lang w:eastAsia="en-US"/>
            </w:rPr>
          </w:pPr>
          <w:r w:rsidRPr="004C04B5">
            <w:fldChar w:fldCharType="begin"/>
          </w:r>
          <w:r w:rsidRPr="004C04B5">
            <w:instrText xml:space="preserve"> TOC \o "1-3" \h \z \u </w:instrText>
          </w:r>
          <w:r w:rsidRPr="004C04B5">
            <w:fldChar w:fldCharType="separate"/>
          </w:r>
          <w:hyperlink w:anchor="_Toc510103885" w:history="1">
            <w:r w:rsidR="00CD15F5" w:rsidRPr="00144BE6">
              <w:rPr>
                <w:rStyle w:val="Hyperlink"/>
                <w:noProof/>
              </w:rPr>
              <w:t>Intended usage</w:t>
            </w:r>
            <w:r w:rsidR="00CD15F5">
              <w:rPr>
                <w:noProof/>
                <w:webHidden/>
              </w:rPr>
              <w:tab/>
            </w:r>
            <w:r w:rsidR="00CD15F5">
              <w:rPr>
                <w:noProof/>
                <w:webHidden/>
              </w:rPr>
              <w:fldChar w:fldCharType="begin"/>
            </w:r>
            <w:r w:rsidR="00CD15F5">
              <w:rPr>
                <w:noProof/>
                <w:webHidden/>
              </w:rPr>
              <w:instrText xml:space="preserve"> PAGEREF _Toc510103885 \h </w:instrText>
            </w:r>
            <w:r w:rsidR="00CD15F5">
              <w:rPr>
                <w:noProof/>
                <w:webHidden/>
              </w:rPr>
            </w:r>
            <w:r w:rsidR="00CD15F5">
              <w:rPr>
                <w:noProof/>
                <w:webHidden/>
              </w:rPr>
              <w:fldChar w:fldCharType="separate"/>
            </w:r>
            <w:r w:rsidR="00CD15F5">
              <w:rPr>
                <w:noProof/>
                <w:webHidden/>
              </w:rPr>
              <w:t>3</w:t>
            </w:r>
            <w:r w:rsidR="00CD15F5">
              <w:rPr>
                <w:noProof/>
                <w:webHidden/>
              </w:rPr>
              <w:fldChar w:fldCharType="end"/>
            </w:r>
          </w:hyperlink>
        </w:p>
        <w:p w14:paraId="5AC5E845" w14:textId="56FC6DCF" w:rsidR="00CD15F5" w:rsidRDefault="00404534">
          <w:pPr>
            <w:pStyle w:val="TOC1"/>
            <w:tabs>
              <w:tab w:val="right" w:leader="dot" w:pos="9350"/>
            </w:tabs>
            <w:rPr>
              <w:rFonts w:asciiTheme="minorHAnsi" w:hAnsiTheme="minorHAnsi" w:cstheme="minorBidi"/>
              <w:noProof/>
              <w:lang w:eastAsia="en-US"/>
            </w:rPr>
          </w:pPr>
          <w:hyperlink w:anchor="_Toc510103886" w:history="1">
            <w:r w:rsidR="00CD15F5" w:rsidRPr="00144BE6">
              <w:rPr>
                <w:rStyle w:val="Hyperlink"/>
                <w:noProof/>
              </w:rPr>
              <w:t>Disclaimer</w:t>
            </w:r>
            <w:r w:rsidR="00CD15F5">
              <w:rPr>
                <w:noProof/>
                <w:webHidden/>
              </w:rPr>
              <w:tab/>
            </w:r>
            <w:r w:rsidR="00CD15F5">
              <w:rPr>
                <w:noProof/>
                <w:webHidden/>
              </w:rPr>
              <w:fldChar w:fldCharType="begin"/>
            </w:r>
            <w:r w:rsidR="00CD15F5">
              <w:rPr>
                <w:noProof/>
                <w:webHidden/>
              </w:rPr>
              <w:instrText xml:space="preserve"> PAGEREF _Toc510103886 \h </w:instrText>
            </w:r>
            <w:r w:rsidR="00CD15F5">
              <w:rPr>
                <w:noProof/>
                <w:webHidden/>
              </w:rPr>
            </w:r>
            <w:r w:rsidR="00CD15F5">
              <w:rPr>
                <w:noProof/>
                <w:webHidden/>
              </w:rPr>
              <w:fldChar w:fldCharType="separate"/>
            </w:r>
            <w:r w:rsidR="00CD15F5">
              <w:rPr>
                <w:noProof/>
                <w:webHidden/>
              </w:rPr>
              <w:t>3</w:t>
            </w:r>
            <w:r w:rsidR="00CD15F5">
              <w:rPr>
                <w:noProof/>
                <w:webHidden/>
              </w:rPr>
              <w:fldChar w:fldCharType="end"/>
            </w:r>
          </w:hyperlink>
        </w:p>
        <w:p w14:paraId="756C7B26" w14:textId="2A5D387A" w:rsidR="00CD15F5" w:rsidRDefault="00404534">
          <w:pPr>
            <w:pStyle w:val="TOC1"/>
            <w:tabs>
              <w:tab w:val="right" w:leader="dot" w:pos="9350"/>
            </w:tabs>
            <w:rPr>
              <w:rFonts w:asciiTheme="minorHAnsi" w:hAnsiTheme="minorHAnsi" w:cstheme="minorBidi"/>
              <w:noProof/>
              <w:lang w:eastAsia="en-US"/>
            </w:rPr>
          </w:pPr>
          <w:hyperlink w:anchor="_Toc510103887" w:history="1">
            <w:r w:rsidR="00CD15F5" w:rsidRPr="00144BE6">
              <w:rPr>
                <w:rStyle w:val="Hyperlink"/>
                <w:noProof/>
              </w:rPr>
              <w:t>Introduction</w:t>
            </w:r>
            <w:r w:rsidR="00CD15F5">
              <w:rPr>
                <w:noProof/>
                <w:webHidden/>
              </w:rPr>
              <w:tab/>
            </w:r>
            <w:r w:rsidR="00CD15F5">
              <w:rPr>
                <w:noProof/>
                <w:webHidden/>
              </w:rPr>
              <w:fldChar w:fldCharType="begin"/>
            </w:r>
            <w:r w:rsidR="00CD15F5">
              <w:rPr>
                <w:noProof/>
                <w:webHidden/>
              </w:rPr>
              <w:instrText xml:space="preserve"> PAGEREF _Toc510103887 \h </w:instrText>
            </w:r>
            <w:r w:rsidR="00CD15F5">
              <w:rPr>
                <w:noProof/>
                <w:webHidden/>
              </w:rPr>
            </w:r>
            <w:r w:rsidR="00CD15F5">
              <w:rPr>
                <w:noProof/>
                <w:webHidden/>
              </w:rPr>
              <w:fldChar w:fldCharType="separate"/>
            </w:r>
            <w:r w:rsidR="00CD15F5">
              <w:rPr>
                <w:noProof/>
                <w:webHidden/>
              </w:rPr>
              <w:t>4</w:t>
            </w:r>
            <w:r w:rsidR="00CD15F5">
              <w:rPr>
                <w:noProof/>
                <w:webHidden/>
              </w:rPr>
              <w:fldChar w:fldCharType="end"/>
            </w:r>
          </w:hyperlink>
        </w:p>
        <w:p w14:paraId="5DBD6A12" w14:textId="1596029A" w:rsidR="00CD15F5" w:rsidRDefault="00404534">
          <w:pPr>
            <w:pStyle w:val="TOC2"/>
            <w:tabs>
              <w:tab w:val="right" w:leader="dot" w:pos="9350"/>
            </w:tabs>
            <w:rPr>
              <w:rFonts w:asciiTheme="minorHAnsi" w:hAnsiTheme="minorHAnsi" w:cstheme="minorBidi"/>
              <w:noProof/>
              <w:lang w:eastAsia="en-US"/>
            </w:rPr>
          </w:pPr>
          <w:hyperlink w:anchor="_Toc510103888" w:history="1">
            <w:r w:rsidR="00CD15F5" w:rsidRPr="00144BE6">
              <w:rPr>
                <w:rStyle w:val="Hyperlink"/>
                <w:noProof/>
              </w:rPr>
              <w:t>Version History</w:t>
            </w:r>
            <w:r w:rsidR="00CD15F5">
              <w:rPr>
                <w:noProof/>
                <w:webHidden/>
              </w:rPr>
              <w:tab/>
            </w:r>
            <w:r w:rsidR="00CD15F5">
              <w:rPr>
                <w:noProof/>
                <w:webHidden/>
              </w:rPr>
              <w:fldChar w:fldCharType="begin"/>
            </w:r>
            <w:r w:rsidR="00CD15F5">
              <w:rPr>
                <w:noProof/>
                <w:webHidden/>
              </w:rPr>
              <w:instrText xml:space="preserve"> PAGEREF _Toc510103888 \h </w:instrText>
            </w:r>
            <w:r w:rsidR="00CD15F5">
              <w:rPr>
                <w:noProof/>
                <w:webHidden/>
              </w:rPr>
            </w:r>
            <w:r w:rsidR="00CD15F5">
              <w:rPr>
                <w:noProof/>
                <w:webHidden/>
              </w:rPr>
              <w:fldChar w:fldCharType="separate"/>
            </w:r>
            <w:r w:rsidR="00CD15F5">
              <w:rPr>
                <w:noProof/>
                <w:webHidden/>
              </w:rPr>
              <w:t>4</w:t>
            </w:r>
            <w:r w:rsidR="00CD15F5">
              <w:rPr>
                <w:noProof/>
                <w:webHidden/>
              </w:rPr>
              <w:fldChar w:fldCharType="end"/>
            </w:r>
          </w:hyperlink>
        </w:p>
        <w:p w14:paraId="469B2BC0" w14:textId="2E6CD315" w:rsidR="00CD15F5" w:rsidRDefault="00404534">
          <w:pPr>
            <w:pStyle w:val="TOC1"/>
            <w:tabs>
              <w:tab w:val="right" w:leader="dot" w:pos="9350"/>
            </w:tabs>
            <w:rPr>
              <w:rFonts w:asciiTheme="minorHAnsi" w:hAnsiTheme="minorHAnsi" w:cstheme="minorBidi"/>
              <w:noProof/>
              <w:lang w:eastAsia="en-US"/>
            </w:rPr>
          </w:pPr>
          <w:hyperlink w:anchor="_Toc510103889" w:history="1">
            <w:r w:rsidR="00CD15F5" w:rsidRPr="00144BE6">
              <w:rPr>
                <w:rStyle w:val="Hyperlink"/>
                <w:noProof/>
              </w:rPr>
              <w:t>Engagement Objectives and Scope</w:t>
            </w:r>
            <w:r w:rsidR="00CD15F5">
              <w:rPr>
                <w:noProof/>
                <w:webHidden/>
              </w:rPr>
              <w:tab/>
            </w:r>
            <w:r w:rsidR="00CD15F5">
              <w:rPr>
                <w:noProof/>
                <w:webHidden/>
              </w:rPr>
              <w:fldChar w:fldCharType="begin"/>
            </w:r>
            <w:r w:rsidR="00CD15F5">
              <w:rPr>
                <w:noProof/>
                <w:webHidden/>
              </w:rPr>
              <w:instrText xml:space="preserve"> PAGEREF _Toc510103889 \h </w:instrText>
            </w:r>
            <w:r w:rsidR="00CD15F5">
              <w:rPr>
                <w:noProof/>
                <w:webHidden/>
              </w:rPr>
            </w:r>
            <w:r w:rsidR="00CD15F5">
              <w:rPr>
                <w:noProof/>
                <w:webHidden/>
              </w:rPr>
              <w:fldChar w:fldCharType="separate"/>
            </w:r>
            <w:r w:rsidR="00CD15F5">
              <w:rPr>
                <w:noProof/>
                <w:webHidden/>
              </w:rPr>
              <w:t>5</w:t>
            </w:r>
            <w:r w:rsidR="00CD15F5">
              <w:rPr>
                <w:noProof/>
                <w:webHidden/>
              </w:rPr>
              <w:fldChar w:fldCharType="end"/>
            </w:r>
          </w:hyperlink>
        </w:p>
        <w:p w14:paraId="49EA3E37" w14:textId="502C65BF" w:rsidR="00CD15F5" w:rsidRDefault="00404534">
          <w:pPr>
            <w:pStyle w:val="TOC2"/>
            <w:tabs>
              <w:tab w:val="right" w:leader="dot" w:pos="9350"/>
            </w:tabs>
            <w:rPr>
              <w:rFonts w:asciiTheme="minorHAnsi" w:hAnsiTheme="minorHAnsi" w:cstheme="minorBidi"/>
              <w:noProof/>
              <w:lang w:eastAsia="en-US"/>
            </w:rPr>
          </w:pPr>
          <w:hyperlink w:anchor="_Toc510103890" w:history="1">
            <w:r w:rsidR="00CD15F5" w:rsidRPr="00144BE6">
              <w:rPr>
                <w:rStyle w:val="Hyperlink"/>
                <w:noProof/>
              </w:rPr>
              <w:t>Objectives</w:t>
            </w:r>
            <w:r w:rsidR="00CD15F5">
              <w:rPr>
                <w:noProof/>
                <w:webHidden/>
              </w:rPr>
              <w:tab/>
            </w:r>
            <w:r w:rsidR="00CD15F5">
              <w:rPr>
                <w:noProof/>
                <w:webHidden/>
              </w:rPr>
              <w:fldChar w:fldCharType="begin"/>
            </w:r>
            <w:r w:rsidR="00CD15F5">
              <w:rPr>
                <w:noProof/>
                <w:webHidden/>
              </w:rPr>
              <w:instrText xml:space="preserve"> PAGEREF _Toc510103890 \h </w:instrText>
            </w:r>
            <w:r w:rsidR="00CD15F5">
              <w:rPr>
                <w:noProof/>
                <w:webHidden/>
              </w:rPr>
            </w:r>
            <w:r w:rsidR="00CD15F5">
              <w:rPr>
                <w:noProof/>
                <w:webHidden/>
              </w:rPr>
              <w:fldChar w:fldCharType="separate"/>
            </w:r>
            <w:r w:rsidR="00CD15F5">
              <w:rPr>
                <w:noProof/>
                <w:webHidden/>
              </w:rPr>
              <w:t>5</w:t>
            </w:r>
            <w:r w:rsidR="00CD15F5">
              <w:rPr>
                <w:noProof/>
                <w:webHidden/>
              </w:rPr>
              <w:fldChar w:fldCharType="end"/>
            </w:r>
          </w:hyperlink>
        </w:p>
        <w:p w14:paraId="3A61992D" w14:textId="7B34A3A9" w:rsidR="00CD15F5" w:rsidRDefault="00404534">
          <w:pPr>
            <w:pStyle w:val="TOC2"/>
            <w:tabs>
              <w:tab w:val="right" w:leader="dot" w:pos="9350"/>
            </w:tabs>
            <w:rPr>
              <w:rFonts w:asciiTheme="minorHAnsi" w:hAnsiTheme="minorHAnsi" w:cstheme="minorBidi"/>
              <w:noProof/>
              <w:lang w:eastAsia="en-US"/>
            </w:rPr>
          </w:pPr>
          <w:hyperlink w:anchor="_Toc510103891" w:history="1">
            <w:r w:rsidR="00CD15F5" w:rsidRPr="00144BE6">
              <w:rPr>
                <w:rStyle w:val="Hyperlink"/>
                <w:noProof/>
              </w:rPr>
              <w:t>In scope</w:t>
            </w:r>
            <w:r w:rsidR="00CD15F5">
              <w:rPr>
                <w:noProof/>
                <w:webHidden/>
              </w:rPr>
              <w:tab/>
            </w:r>
            <w:r w:rsidR="00CD15F5">
              <w:rPr>
                <w:noProof/>
                <w:webHidden/>
              </w:rPr>
              <w:fldChar w:fldCharType="begin"/>
            </w:r>
            <w:r w:rsidR="00CD15F5">
              <w:rPr>
                <w:noProof/>
                <w:webHidden/>
              </w:rPr>
              <w:instrText xml:space="preserve"> PAGEREF _Toc510103891 \h </w:instrText>
            </w:r>
            <w:r w:rsidR="00CD15F5">
              <w:rPr>
                <w:noProof/>
                <w:webHidden/>
              </w:rPr>
            </w:r>
            <w:r w:rsidR="00CD15F5">
              <w:rPr>
                <w:noProof/>
                <w:webHidden/>
              </w:rPr>
              <w:fldChar w:fldCharType="separate"/>
            </w:r>
            <w:r w:rsidR="00CD15F5">
              <w:rPr>
                <w:noProof/>
                <w:webHidden/>
              </w:rPr>
              <w:t>5</w:t>
            </w:r>
            <w:r w:rsidR="00CD15F5">
              <w:rPr>
                <w:noProof/>
                <w:webHidden/>
              </w:rPr>
              <w:fldChar w:fldCharType="end"/>
            </w:r>
          </w:hyperlink>
        </w:p>
        <w:p w14:paraId="4D3E1AFB" w14:textId="631C74B9" w:rsidR="00CD15F5" w:rsidRDefault="00404534">
          <w:pPr>
            <w:pStyle w:val="TOC2"/>
            <w:tabs>
              <w:tab w:val="right" w:leader="dot" w:pos="9350"/>
            </w:tabs>
            <w:rPr>
              <w:rFonts w:asciiTheme="minorHAnsi" w:hAnsiTheme="minorHAnsi" w:cstheme="minorBidi"/>
              <w:noProof/>
              <w:lang w:eastAsia="en-US"/>
            </w:rPr>
          </w:pPr>
          <w:hyperlink w:anchor="_Toc510103892" w:history="1">
            <w:r w:rsidR="00CD15F5" w:rsidRPr="00144BE6">
              <w:rPr>
                <w:rStyle w:val="Hyperlink"/>
                <w:noProof/>
              </w:rPr>
              <w:t>Out of scope</w:t>
            </w:r>
            <w:r w:rsidR="00CD15F5">
              <w:rPr>
                <w:noProof/>
                <w:webHidden/>
              </w:rPr>
              <w:tab/>
            </w:r>
            <w:r w:rsidR="00CD15F5">
              <w:rPr>
                <w:noProof/>
                <w:webHidden/>
              </w:rPr>
              <w:fldChar w:fldCharType="begin"/>
            </w:r>
            <w:r w:rsidR="00CD15F5">
              <w:rPr>
                <w:noProof/>
                <w:webHidden/>
              </w:rPr>
              <w:instrText xml:space="preserve"> PAGEREF _Toc510103892 \h </w:instrText>
            </w:r>
            <w:r w:rsidR="00CD15F5">
              <w:rPr>
                <w:noProof/>
                <w:webHidden/>
              </w:rPr>
            </w:r>
            <w:r w:rsidR="00CD15F5">
              <w:rPr>
                <w:noProof/>
                <w:webHidden/>
              </w:rPr>
              <w:fldChar w:fldCharType="separate"/>
            </w:r>
            <w:r w:rsidR="00CD15F5">
              <w:rPr>
                <w:noProof/>
                <w:webHidden/>
              </w:rPr>
              <w:t>5</w:t>
            </w:r>
            <w:r w:rsidR="00CD15F5">
              <w:rPr>
                <w:noProof/>
                <w:webHidden/>
              </w:rPr>
              <w:fldChar w:fldCharType="end"/>
            </w:r>
          </w:hyperlink>
        </w:p>
        <w:p w14:paraId="629DDB89" w14:textId="21F656EC" w:rsidR="00CD15F5" w:rsidRDefault="00404534">
          <w:pPr>
            <w:pStyle w:val="TOC1"/>
            <w:tabs>
              <w:tab w:val="right" w:leader="dot" w:pos="9350"/>
            </w:tabs>
            <w:rPr>
              <w:rFonts w:asciiTheme="minorHAnsi" w:hAnsiTheme="minorHAnsi" w:cstheme="minorBidi"/>
              <w:noProof/>
              <w:lang w:eastAsia="en-US"/>
            </w:rPr>
          </w:pPr>
          <w:hyperlink w:anchor="_Toc510103893" w:history="1">
            <w:r w:rsidR="00CD15F5" w:rsidRPr="00144BE6">
              <w:rPr>
                <w:rStyle w:val="Hyperlink"/>
                <w:noProof/>
              </w:rPr>
              <w:t>Project Approach</w:t>
            </w:r>
            <w:r w:rsidR="00CD15F5">
              <w:rPr>
                <w:noProof/>
                <w:webHidden/>
              </w:rPr>
              <w:tab/>
            </w:r>
            <w:r w:rsidR="00CD15F5">
              <w:rPr>
                <w:noProof/>
                <w:webHidden/>
              </w:rPr>
              <w:fldChar w:fldCharType="begin"/>
            </w:r>
            <w:r w:rsidR="00CD15F5">
              <w:rPr>
                <w:noProof/>
                <w:webHidden/>
              </w:rPr>
              <w:instrText xml:space="preserve"> PAGEREF _Toc510103893 \h </w:instrText>
            </w:r>
            <w:r w:rsidR="00CD15F5">
              <w:rPr>
                <w:noProof/>
                <w:webHidden/>
              </w:rPr>
            </w:r>
            <w:r w:rsidR="00CD15F5">
              <w:rPr>
                <w:noProof/>
                <w:webHidden/>
              </w:rPr>
              <w:fldChar w:fldCharType="separate"/>
            </w:r>
            <w:r w:rsidR="00CD15F5">
              <w:rPr>
                <w:noProof/>
                <w:webHidden/>
              </w:rPr>
              <w:t>6</w:t>
            </w:r>
            <w:r w:rsidR="00CD15F5">
              <w:rPr>
                <w:noProof/>
                <w:webHidden/>
              </w:rPr>
              <w:fldChar w:fldCharType="end"/>
            </w:r>
          </w:hyperlink>
        </w:p>
        <w:p w14:paraId="5CFBF421" w14:textId="5408D2D7" w:rsidR="00CD15F5" w:rsidRDefault="00404534">
          <w:pPr>
            <w:pStyle w:val="TOC1"/>
            <w:tabs>
              <w:tab w:val="right" w:leader="dot" w:pos="9350"/>
            </w:tabs>
            <w:rPr>
              <w:rFonts w:asciiTheme="minorHAnsi" w:hAnsiTheme="minorHAnsi" w:cstheme="minorBidi"/>
              <w:noProof/>
              <w:lang w:eastAsia="en-US"/>
            </w:rPr>
          </w:pPr>
          <w:hyperlink w:anchor="_Toc510103894" w:history="1">
            <w:r w:rsidR="00CD15F5" w:rsidRPr="00144BE6">
              <w:rPr>
                <w:rStyle w:val="Hyperlink"/>
                <w:noProof/>
              </w:rPr>
              <w:t>Timeline</w:t>
            </w:r>
            <w:r w:rsidR="00CD15F5">
              <w:rPr>
                <w:noProof/>
                <w:webHidden/>
              </w:rPr>
              <w:tab/>
            </w:r>
            <w:r w:rsidR="00CD15F5">
              <w:rPr>
                <w:noProof/>
                <w:webHidden/>
              </w:rPr>
              <w:fldChar w:fldCharType="begin"/>
            </w:r>
            <w:r w:rsidR="00CD15F5">
              <w:rPr>
                <w:noProof/>
                <w:webHidden/>
              </w:rPr>
              <w:instrText xml:space="preserve"> PAGEREF _Toc510103894 \h </w:instrText>
            </w:r>
            <w:r w:rsidR="00CD15F5">
              <w:rPr>
                <w:noProof/>
                <w:webHidden/>
              </w:rPr>
            </w:r>
            <w:r w:rsidR="00CD15F5">
              <w:rPr>
                <w:noProof/>
                <w:webHidden/>
              </w:rPr>
              <w:fldChar w:fldCharType="separate"/>
            </w:r>
            <w:r w:rsidR="00CD15F5">
              <w:rPr>
                <w:noProof/>
                <w:webHidden/>
              </w:rPr>
              <w:t>6</w:t>
            </w:r>
            <w:r w:rsidR="00CD15F5">
              <w:rPr>
                <w:noProof/>
                <w:webHidden/>
              </w:rPr>
              <w:fldChar w:fldCharType="end"/>
            </w:r>
          </w:hyperlink>
        </w:p>
        <w:p w14:paraId="48D17C44" w14:textId="308674A1" w:rsidR="00CD15F5" w:rsidRDefault="00404534">
          <w:pPr>
            <w:pStyle w:val="TOC1"/>
            <w:tabs>
              <w:tab w:val="right" w:leader="dot" w:pos="9350"/>
            </w:tabs>
            <w:rPr>
              <w:rFonts w:asciiTheme="minorHAnsi" w:hAnsiTheme="minorHAnsi" w:cstheme="minorBidi"/>
              <w:noProof/>
              <w:lang w:eastAsia="en-US"/>
            </w:rPr>
          </w:pPr>
          <w:hyperlink w:anchor="_Toc510103895" w:history="1">
            <w:r w:rsidR="00CD15F5" w:rsidRPr="00144BE6">
              <w:rPr>
                <w:rStyle w:val="Hyperlink"/>
                <w:noProof/>
              </w:rPr>
              <w:t>Deliverables and work products</w:t>
            </w:r>
            <w:r w:rsidR="00CD15F5">
              <w:rPr>
                <w:noProof/>
                <w:webHidden/>
              </w:rPr>
              <w:tab/>
            </w:r>
            <w:r w:rsidR="00CD15F5">
              <w:rPr>
                <w:noProof/>
                <w:webHidden/>
              </w:rPr>
              <w:fldChar w:fldCharType="begin"/>
            </w:r>
            <w:r w:rsidR="00CD15F5">
              <w:rPr>
                <w:noProof/>
                <w:webHidden/>
              </w:rPr>
              <w:instrText xml:space="preserve"> PAGEREF _Toc510103895 \h </w:instrText>
            </w:r>
            <w:r w:rsidR="00CD15F5">
              <w:rPr>
                <w:noProof/>
                <w:webHidden/>
              </w:rPr>
            </w:r>
            <w:r w:rsidR="00CD15F5">
              <w:rPr>
                <w:noProof/>
                <w:webHidden/>
              </w:rPr>
              <w:fldChar w:fldCharType="separate"/>
            </w:r>
            <w:r w:rsidR="00CD15F5">
              <w:rPr>
                <w:noProof/>
                <w:webHidden/>
              </w:rPr>
              <w:t>7</w:t>
            </w:r>
            <w:r w:rsidR="00CD15F5">
              <w:rPr>
                <w:noProof/>
                <w:webHidden/>
              </w:rPr>
              <w:fldChar w:fldCharType="end"/>
            </w:r>
          </w:hyperlink>
        </w:p>
        <w:p w14:paraId="27991439" w14:textId="05B45285" w:rsidR="00CD15F5" w:rsidRDefault="00404534">
          <w:pPr>
            <w:pStyle w:val="TOC1"/>
            <w:tabs>
              <w:tab w:val="right" w:leader="dot" w:pos="9350"/>
            </w:tabs>
            <w:rPr>
              <w:rFonts w:asciiTheme="minorHAnsi" w:hAnsiTheme="minorHAnsi" w:cstheme="minorBidi"/>
              <w:noProof/>
              <w:lang w:eastAsia="en-US"/>
            </w:rPr>
          </w:pPr>
          <w:hyperlink w:anchor="_Toc510103896" w:history="1">
            <w:r w:rsidR="00CD15F5" w:rsidRPr="00144BE6">
              <w:rPr>
                <w:rStyle w:val="Hyperlink"/>
                <w:noProof/>
              </w:rPr>
              <w:t>Customer Resource Requirements</w:t>
            </w:r>
            <w:r w:rsidR="00CD15F5">
              <w:rPr>
                <w:noProof/>
                <w:webHidden/>
              </w:rPr>
              <w:tab/>
            </w:r>
            <w:r w:rsidR="00CD15F5">
              <w:rPr>
                <w:noProof/>
                <w:webHidden/>
              </w:rPr>
              <w:fldChar w:fldCharType="begin"/>
            </w:r>
            <w:r w:rsidR="00CD15F5">
              <w:rPr>
                <w:noProof/>
                <w:webHidden/>
              </w:rPr>
              <w:instrText xml:space="preserve"> PAGEREF _Toc510103896 \h </w:instrText>
            </w:r>
            <w:r w:rsidR="00CD15F5">
              <w:rPr>
                <w:noProof/>
                <w:webHidden/>
              </w:rPr>
            </w:r>
            <w:r w:rsidR="00CD15F5">
              <w:rPr>
                <w:noProof/>
                <w:webHidden/>
              </w:rPr>
              <w:fldChar w:fldCharType="separate"/>
            </w:r>
            <w:r w:rsidR="00CD15F5">
              <w:rPr>
                <w:noProof/>
                <w:webHidden/>
              </w:rPr>
              <w:t>8</w:t>
            </w:r>
            <w:r w:rsidR="00CD15F5">
              <w:rPr>
                <w:noProof/>
                <w:webHidden/>
              </w:rPr>
              <w:fldChar w:fldCharType="end"/>
            </w:r>
          </w:hyperlink>
        </w:p>
        <w:p w14:paraId="36A9882E" w14:textId="6F52D571" w:rsidR="00CD15F5" w:rsidRDefault="00404534">
          <w:pPr>
            <w:pStyle w:val="TOC1"/>
            <w:tabs>
              <w:tab w:val="right" w:leader="dot" w:pos="9350"/>
            </w:tabs>
            <w:rPr>
              <w:rFonts w:asciiTheme="minorHAnsi" w:hAnsiTheme="minorHAnsi" w:cstheme="minorBidi"/>
              <w:noProof/>
              <w:lang w:eastAsia="en-US"/>
            </w:rPr>
          </w:pPr>
          <w:hyperlink w:anchor="_Toc510103897" w:history="1">
            <w:r w:rsidR="00CD15F5" w:rsidRPr="00144BE6">
              <w:rPr>
                <w:rStyle w:val="Hyperlink"/>
                <w:noProof/>
              </w:rPr>
              <w:t>Customer Responsibilities</w:t>
            </w:r>
            <w:r w:rsidR="00CD15F5">
              <w:rPr>
                <w:noProof/>
                <w:webHidden/>
              </w:rPr>
              <w:tab/>
            </w:r>
            <w:r w:rsidR="00CD15F5">
              <w:rPr>
                <w:noProof/>
                <w:webHidden/>
              </w:rPr>
              <w:fldChar w:fldCharType="begin"/>
            </w:r>
            <w:r w:rsidR="00CD15F5">
              <w:rPr>
                <w:noProof/>
                <w:webHidden/>
              </w:rPr>
              <w:instrText xml:space="preserve"> PAGEREF _Toc510103897 \h </w:instrText>
            </w:r>
            <w:r w:rsidR="00CD15F5">
              <w:rPr>
                <w:noProof/>
                <w:webHidden/>
              </w:rPr>
            </w:r>
            <w:r w:rsidR="00CD15F5">
              <w:rPr>
                <w:noProof/>
                <w:webHidden/>
              </w:rPr>
              <w:fldChar w:fldCharType="separate"/>
            </w:r>
            <w:r w:rsidR="00CD15F5">
              <w:rPr>
                <w:noProof/>
                <w:webHidden/>
              </w:rPr>
              <w:t>9</w:t>
            </w:r>
            <w:r w:rsidR="00CD15F5">
              <w:rPr>
                <w:noProof/>
                <w:webHidden/>
              </w:rPr>
              <w:fldChar w:fldCharType="end"/>
            </w:r>
          </w:hyperlink>
        </w:p>
        <w:p w14:paraId="3FF157DE" w14:textId="4188892F" w:rsidR="007A5ABD" w:rsidRPr="004C04B5" w:rsidRDefault="00D05D51">
          <w:r w:rsidRPr="004C04B5">
            <w:fldChar w:fldCharType="end"/>
          </w:r>
        </w:p>
      </w:sdtContent>
    </w:sdt>
    <w:p w14:paraId="5D4CF61A" w14:textId="77777777" w:rsidR="00032C5A" w:rsidRPr="004C04B5" w:rsidRDefault="00032C5A">
      <w:pPr>
        <w:rPr>
          <w:rFonts w:ascii="Segoe UI Light" w:eastAsiaTheme="majorEastAsia" w:hAnsi="Segoe UI Light" w:cs="Segoe UI Light"/>
          <w:color w:val="2E74B5" w:themeColor="accent1" w:themeShade="BF"/>
          <w:sz w:val="32"/>
          <w:szCs w:val="32"/>
        </w:rPr>
      </w:pPr>
      <w:bookmarkStart w:id="0" w:name="_Toc485800716"/>
      <w:bookmarkStart w:id="1" w:name="_Toc485821996"/>
      <w:r w:rsidRPr="004C04B5">
        <w:br w:type="page"/>
      </w:r>
    </w:p>
    <w:p w14:paraId="6E7B6E66" w14:textId="77777777" w:rsidR="00032C5A" w:rsidRPr="004C04B5" w:rsidRDefault="00032C5A" w:rsidP="00032C5A">
      <w:pPr>
        <w:pStyle w:val="Heading1"/>
      </w:pPr>
      <w:bookmarkStart w:id="2" w:name="_Toc494874858"/>
      <w:bookmarkStart w:id="3" w:name="_Toc510103885"/>
      <w:r w:rsidRPr="004C04B5">
        <w:lastRenderedPageBreak/>
        <w:t>Intended usage</w:t>
      </w:r>
      <w:bookmarkEnd w:id="2"/>
      <w:bookmarkEnd w:id="3"/>
    </w:p>
    <w:p w14:paraId="1047257C" w14:textId="77777777" w:rsidR="00032C5A" w:rsidRPr="004C04B5" w:rsidRDefault="00032C5A" w:rsidP="00032C5A">
      <w:r w:rsidRPr="004C04B5">
        <w:t>This model is a question-driven assessment tool for preparing for the General Data Protection Regulation (GDPR) (Regulation (EU) 2016/679). The tool is intended to be used by Microsoft partners to assist customers in identifying where they are on the journey to GDPR readiness. Output from the tool includes identification of gaps in customer readiness and recommendations to consider for closing any gaps. Recommendations are organized into the categories People, Process and Technology.</w:t>
      </w:r>
    </w:p>
    <w:p w14:paraId="1475C537" w14:textId="77777777" w:rsidR="00032C5A" w:rsidRPr="004C04B5" w:rsidRDefault="00032C5A" w:rsidP="00032C5A">
      <w:pPr>
        <w:pStyle w:val="Heading1"/>
      </w:pPr>
      <w:bookmarkStart w:id="4" w:name="_Toc494874859"/>
      <w:bookmarkStart w:id="5" w:name="_Toc510103886"/>
      <w:r w:rsidRPr="004C04B5">
        <w:t>Disclaimer</w:t>
      </w:r>
      <w:bookmarkEnd w:id="4"/>
      <w:bookmarkEnd w:id="5"/>
    </w:p>
    <w:p w14:paraId="051B872E" w14:textId="77777777" w:rsidR="00032C5A" w:rsidRPr="004C04B5" w:rsidRDefault="00032C5A" w:rsidP="00032C5A">
      <w:r w:rsidRPr="004C04B5">
        <w:t xml:space="preserve">This GDPR Detailed Assessment is intended to assist organizations with assessing their GDPR compliance progress.  This GDPR Detailed Assessment is provided for </w:t>
      </w:r>
      <w:proofErr w:type="gramStart"/>
      <w:r w:rsidRPr="004C04B5">
        <w:t>general public</w:t>
      </w:r>
      <w:proofErr w:type="gramEnd"/>
      <w:r w:rsidRPr="004C04B5">
        <w:t xml:space="preserve"> informational purposes only.  Any results, scoring or recommendations produced by the GDPR Detailed Assessment should not be relied upon to determine how GDPR applies to an organization or an organization’s compliance with GDPR, and they do not constitute legal advice, certifications or guarantees regarding GDPR compliance.  Instead, we hope the GDPR Detailed Assessment identifies technologies and additional steps that organizations can implement to simplify their GDPR compliance efforts.  The application of GDPR is highly fact-specific. We encourage all organizations using this GDPR Detailed Assessment to work with a legally qualified professional to discuss GDPR, how it applies specifically to their organization, and how best to ensure compliance.</w:t>
      </w:r>
    </w:p>
    <w:p w14:paraId="0C1DAC08" w14:textId="77777777" w:rsidR="00032C5A" w:rsidRPr="004C04B5" w:rsidRDefault="00032C5A" w:rsidP="00032C5A">
      <w:r w:rsidRPr="004C04B5">
        <w:t>MICROSOFT MAKES NO WARRANTIES, EXPRESS, IMPLIED, OR STATUTORY, AS TO THE INFORMATION IN THIS GDPR DETAILED ASSESSMENT. Microsoft disclaims any conditions, express or implied, or other terms that use of the Microsoft products or services will ensure the organization’s compliance with the GDPR.  This GDPR Detailed Assessment is provided “as-is.”  Information and recommendations expressed in this GDPR Detailed Assessment may change without notice.</w:t>
      </w:r>
    </w:p>
    <w:p w14:paraId="695D6AD9" w14:textId="77777777" w:rsidR="00032C5A" w:rsidRPr="004C04B5" w:rsidRDefault="00032C5A" w:rsidP="00032C5A">
      <w:r w:rsidRPr="004C04B5">
        <w:t xml:space="preserve">This GDPR Detailed Assessment does not provide the user with any legal rights to any intellectual property in any Microsoft product or service.  Use of the tool is for internal, reference purposes only; however, Microsoft partners may distribute the GDPR Detailed Assessment to their customers for such customers’ internal, reference purposes only. Any distribution of the GDPR Detailed Assessment by a Microsoft partner to its customers must include terms consistent with those set forth in this disclaimer.   </w:t>
      </w:r>
    </w:p>
    <w:p w14:paraId="3FD8ECA9" w14:textId="77777777" w:rsidR="00032C5A" w:rsidRPr="004C04B5" w:rsidRDefault="00032C5A" w:rsidP="00032C5A">
      <w:r w:rsidRPr="004C04B5">
        <w:t xml:space="preserve">© 2017 Microsoft.  All rights reserved </w:t>
      </w:r>
    </w:p>
    <w:p w14:paraId="42149582" w14:textId="77777777" w:rsidR="00032C5A" w:rsidRPr="004C04B5" w:rsidRDefault="00032C5A">
      <w:pPr>
        <w:rPr>
          <w:rFonts w:ascii="Segoe UI Light" w:eastAsiaTheme="majorEastAsia" w:hAnsi="Segoe UI Light" w:cs="Segoe UI Light"/>
          <w:color w:val="2E74B5" w:themeColor="accent1" w:themeShade="BF"/>
          <w:sz w:val="32"/>
          <w:szCs w:val="32"/>
        </w:rPr>
      </w:pPr>
      <w:r w:rsidRPr="004C04B5">
        <w:br w:type="page"/>
      </w:r>
    </w:p>
    <w:p w14:paraId="7F1E86EF" w14:textId="77777777" w:rsidR="00032C5A" w:rsidRPr="004C04B5" w:rsidRDefault="00032C5A" w:rsidP="00032C5A">
      <w:pPr>
        <w:pStyle w:val="Heading1"/>
      </w:pPr>
      <w:bookmarkStart w:id="6" w:name="_Toc464511005"/>
      <w:bookmarkStart w:id="7" w:name="_Toc499706385"/>
      <w:bookmarkStart w:id="8" w:name="_Toc510103887"/>
      <w:bookmarkStart w:id="9" w:name="_Toc455047136"/>
      <w:r w:rsidRPr="004C04B5">
        <w:lastRenderedPageBreak/>
        <w:t>Introduction</w:t>
      </w:r>
      <w:bookmarkEnd w:id="6"/>
      <w:bookmarkEnd w:id="7"/>
      <w:bookmarkEnd w:id="8"/>
    </w:p>
    <w:p w14:paraId="281BF3E7" w14:textId="77777777" w:rsidR="0027779D" w:rsidRDefault="009E5F57" w:rsidP="0027779D">
      <w:bookmarkStart w:id="10" w:name="_Toc499706386"/>
      <w:bookmarkEnd w:id="9"/>
      <w:r w:rsidRPr="009E5F57">
        <w:t>The General Data Protection Regulation (GDPR) represents a paradigm shift in global privacy requirements governing how organizations manage and protect personal data while respecting individual choice—no matter where the data is sent, processed, or stored. It introduces new requirements on privacy, security and compliance for organizations that offer goods and services to European Union (EU) residents.</w:t>
      </w:r>
    </w:p>
    <w:p w14:paraId="170C87AD" w14:textId="17A824B2" w:rsidR="009E5F57" w:rsidRDefault="009E5F57" w:rsidP="0027779D">
      <w:r>
        <w:t xml:space="preserve">This Statement of Work describes the </w:t>
      </w:r>
      <w:r w:rsidRPr="009E5F57">
        <w:t>GDPR Detailed Assessment</w:t>
      </w:r>
      <w:r>
        <w:t xml:space="preserve">, </w:t>
      </w:r>
      <w:r w:rsidRPr="009E5F57">
        <w:t>a three-step process that Microsoft partners will engage in with their customers to assess their overall GDPR maturity.</w:t>
      </w:r>
    </w:p>
    <w:p w14:paraId="7BC69DB1" w14:textId="51A0121F" w:rsidR="009E5F57" w:rsidRDefault="009E5F57" w:rsidP="0027779D">
      <w:r w:rsidRPr="009E5F57">
        <w:t xml:space="preserve">The GDPR Detailed Assessment tool </w:t>
      </w:r>
      <w:r>
        <w:t xml:space="preserve">that is used during the assessment </w:t>
      </w:r>
      <w:r w:rsidR="00EB78A5">
        <w:t>is built on</w:t>
      </w:r>
      <w:r w:rsidRPr="009E5F57">
        <w:t xml:space="preserve"> an Excel </w:t>
      </w:r>
      <w:r w:rsidR="0027779D" w:rsidRPr="009E5F57">
        <w:t>workbook</w:t>
      </w:r>
      <w:r w:rsidR="0027779D">
        <w:t xml:space="preserve"> (the questionnaire) </w:t>
      </w:r>
      <w:r>
        <w:t xml:space="preserve">with over 160 questions </w:t>
      </w:r>
      <w:r w:rsidR="0027779D">
        <w:t xml:space="preserve">that are </w:t>
      </w:r>
      <w:r>
        <w:t>related to various GDPR scenario’s</w:t>
      </w:r>
      <w:r w:rsidR="0027779D">
        <w:t xml:space="preserve">. The questions are </w:t>
      </w:r>
      <w:r>
        <w:t>organized around f</w:t>
      </w:r>
      <w:r w:rsidRPr="009E5F57">
        <w:t>our themes</w:t>
      </w:r>
      <w:r>
        <w:t>:</w:t>
      </w:r>
      <w:r w:rsidRPr="009E5F57">
        <w:t xml:space="preserve"> Discover, Manage, Protect, and Report (DMPR)</w:t>
      </w:r>
      <w:r w:rsidR="0027779D">
        <w:t xml:space="preserve"> and describe scenario’s that are impacted by the GDPR and are recognizable by the customer</w:t>
      </w:r>
      <w:r>
        <w:t xml:space="preserve">. After completion, the results will be </w:t>
      </w:r>
      <w:r w:rsidR="0027779D">
        <w:t>analyzed,</w:t>
      </w:r>
      <w:r>
        <w:t xml:space="preserve"> and a detailed report will be presented.</w:t>
      </w:r>
    </w:p>
    <w:p w14:paraId="162ED2A5" w14:textId="5428F916" w:rsidR="009E5F57" w:rsidRPr="009E5F57" w:rsidRDefault="009E5F57" w:rsidP="0027779D">
      <w:r>
        <w:t xml:space="preserve">The report </w:t>
      </w:r>
      <w:r w:rsidRPr="009E5F57">
        <w:t xml:space="preserve">provides high-level visualizations of the end-customers’ </w:t>
      </w:r>
      <w:r w:rsidR="0027779D">
        <w:t xml:space="preserve">GDPR </w:t>
      </w:r>
      <w:r w:rsidRPr="009E5F57">
        <w:t xml:space="preserve">maturity overall and within each theme. It also </w:t>
      </w:r>
      <w:r w:rsidR="0027779D">
        <w:t>provides</w:t>
      </w:r>
      <w:r w:rsidRPr="009E5F57">
        <w:t xml:space="preserve"> recommendations </w:t>
      </w:r>
      <w:r w:rsidR="0027779D">
        <w:t xml:space="preserve">and a roadmap with actionable activities </w:t>
      </w:r>
      <w:r w:rsidRPr="009E5F57">
        <w:t>to help customers improve their GDPR maturity within each theme.</w:t>
      </w:r>
    </w:p>
    <w:p w14:paraId="0D981727" w14:textId="381762A3" w:rsidR="00032C5A" w:rsidRPr="004C04B5" w:rsidRDefault="00032C5A" w:rsidP="00032C5A">
      <w:pPr>
        <w:pStyle w:val="Heading2"/>
      </w:pPr>
      <w:bookmarkStart w:id="11" w:name="_Toc510103888"/>
      <w:r w:rsidRPr="004C04B5">
        <w:t>Version History</w:t>
      </w:r>
      <w:bookmarkEnd w:id="10"/>
      <w:bookmarkEnd w:id="11"/>
    </w:p>
    <w:tbl>
      <w:tblPr>
        <w:tblStyle w:val="ListTable3-Accent1"/>
        <w:tblW w:w="5000" w:type="pct"/>
        <w:tblLook w:val="0420" w:firstRow="1" w:lastRow="0" w:firstColumn="0" w:lastColumn="0" w:noHBand="0" w:noVBand="1"/>
      </w:tblPr>
      <w:tblGrid>
        <w:gridCol w:w="1130"/>
        <w:gridCol w:w="2410"/>
        <w:gridCol w:w="3968"/>
        <w:gridCol w:w="1842"/>
      </w:tblGrid>
      <w:tr w:rsidR="00032C5A" w:rsidRPr="004C04B5" w14:paraId="0F1EF1F3" w14:textId="77777777" w:rsidTr="008E289E">
        <w:trPr>
          <w:cnfStyle w:val="100000000000" w:firstRow="1" w:lastRow="0" w:firstColumn="0" w:lastColumn="0" w:oddVBand="0" w:evenVBand="0" w:oddHBand="0" w:evenHBand="0" w:firstRowFirstColumn="0" w:firstRowLastColumn="0" w:lastRowFirstColumn="0" w:lastRowLastColumn="0"/>
        </w:trPr>
        <w:tc>
          <w:tcPr>
            <w:tcW w:w="604" w:type="pct"/>
          </w:tcPr>
          <w:p w14:paraId="4F22C289" w14:textId="77777777" w:rsidR="00032C5A" w:rsidRPr="004C04B5" w:rsidRDefault="00032C5A" w:rsidP="00A80DC4">
            <w:r w:rsidRPr="004C04B5">
              <w:t>Version</w:t>
            </w:r>
          </w:p>
        </w:tc>
        <w:tc>
          <w:tcPr>
            <w:tcW w:w="1289" w:type="pct"/>
          </w:tcPr>
          <w:p w14:paraId="495036EC" w14:textId="708D5334" w:rsidR="00032C5A" w:rsidRPr="004C04B5" w:rsidRDefault="00032C5A" w:rsidP="00A80DC4">
            <w:r w:rsidRPr="004C04B5">
              <w:t>Author</w:t>
            </w:r>
          </w:p>
        </w:tc>
        <w:tc>
          <w:tcPr>
            <w:tcW w:w="2122" w:type="pct"/>
          </w:tcPr>
          <w:p w14:paraId="038DEAF9" w14:textId="0EFE3552" w:rsidR="00032C5A" w:rsidRPr="004C04B5" w:rsidRDefault="00032C5A" w:rsidP="00A80DC4">
            <w:r w:rsidRPr="004C04B5">
              <w:t>Changes</w:t>
            </w:r>
          </w:p>
        </w:tc>
        <w:tc>
          <w:tcPr>
            <w:tcW w:w="985" w:type="pct"/>
          </w:tcPr>
          <w:p w14:paraId="767C06D4" w14:textId="77777777" w:rsidR="00032C5A" w:rsidRPr="004C04B5" w:rsidRDefault="00032C5A" w:rsidP="00A80DC4">
            <w:r w:rsidRPr="004C04B5">
              <w:t>Date</w:t>
            </w:r>
          </w:p>
        </w:tc>
      </w:tr>
      <w:tr w:rsidR="00032C5A" w:rsidRPr="004C04B5" w14:paraId="455EBA8D" w14:textId="77777777" w:rsidTr="008E289E">
        <w:trPr>
          <w:cnfStyle w:val="000000100000" w:firstRow="0" w:lastRow="0" w:firstColumn="0" w:lastColumn="0" w:oddVBand="0" w:evenVBand="0" w:oddHBand="1" w:evenHBand="0" w:firstRowFirstColumn="0" w:firstRowLastColumn="0" w:lastRowFirstColumn="0" w:lastRowLastColumn="0"/>
        </w:trPr>
        <w:tc>
          <w:tcPr>
            <w:tcW w:w="604" w:type="pct"/>
          </w:tcPr>
          <w:p w14:paraId="31349F5D" w14:textId="361C38FE" w:rsidR="00032C5A" w:rsidRPr="004C04B5" w:rsidRDefault="00032C5A" w:rsidP="00A80DC4">
            <w:r w:rsidRPr="004C04B5">
              <w:t>0.2</w:t>
            </w:r>
          </w:p>
        </w:tc>
        <w:tc>
          <w:tcPr>
            <w:tcW w:w="1289" w:type="pct"/>
          </w:tcPr>
          <w:p w14:paraId="35951AFB" w14:textId="31DDEB7A" w:rsidR="00032C5A" w:rsidRPr="004C04B5" w:rsidRDefault="00032C5A" w:rsidP="00A80DC4">
            <w:r w:rsidRPr="004C04B5">
              <w:t>François van Hemert</w:t>
            </w:r>
          </w:p>
        </w:tc>
        <w:tc>
          <w:tcPr>
            <w:tcW w:w="2122" w:type="pct"/>
          </w:tcPr>
          <w:p w14:paraId="4AD29371" w14:textId="2557D50D" w:rsidR="00032C5A" w:rsidRPr="004C04B5" w:rsidRDefault="00032C5A" w:rsidP="00A80DC4">
            <w:r w:rsidRPr="004C04B5">
              <w:t>Initial Release</w:t>
            </w:r>
          </w:p>
        </w:tc>
        <w:tc>
          <w:tcPr>
            <w:tcW w:w="985" w:type="pct"/>
          </w:tcPr>
          <w:p w14:paraId="0B6F3C08" w14:textId="345E20F2" w:rsidR="00032C5A" w:rsidRPr="004C04B5" w:rsidRDefault="00032C5A" w:rsidP="00A80DC4">
            <w:r w:rsidRPr="004C04B5">
              <w:t>February 2018</w:t>
            </w:r>
          </w:p>
        </w:tc>
      </w:tr>
      <w:tr w:rsidR="00CD15F5" w:rsidRPr="004C04B5" w14:paraId="0DC56F2C" w14:textId="77777777" w:rsidTr="008E289E">
        <w:tc>
          <w:tcPr>
            <w:tcW w:w="604" w:type="pct"/>
          </w:tcPr>
          <w:p w14:paraId="7EC73CDF" w14:textId="5C695FF7" w:rsidR="00CD15F5" w:rsidRPr="004C04B5" w:rsidRDefault="00CD15F5" w:rsidP="00A80DC4">
            <w:r>
              <w:t>3.0</w:t>
            </w:r>
          </w:p>
        </w:tc>
        <w:tc>
          <w:tcPr>
            <w:tcW w:w="1289" w:type="pct"/>
          </w:tcPr>
          <w:p w14:paraId="3C774227" w14:textId="58D7B8A5" w:rsidR="00CD15F5" w:rsidRPr="004C04B5" w:rsidRDefault="00CD15F5" w:rsidP="00A80DC4">
            <w:r w:rsidRPr="004C04B5">
              <w:t>François van Hemert</w:t>
            </w:r>
          </w:p>
        </w:tc>
        <w:tc>
          <w:tcPr>
            <w:tcW w:w="2122" w:type="pct"/>
          </w:tcPr>
          <w:p w14:paraId="4631B7D8" w14:textId="3C39C043" w:rsidR="00CD15F5" w:rsidRPr="004C04B5" w:rsidRDefault="00CD15F5" w:rsidP="00A80DC4">
            <w:r>
              <w:t>Published version</w:t>
            </w:r>
          </w:p>
        </w:tc>
        <w:tc>
          <w:tcPr>
            <w:tcW w:w="985" w:type="pct"/>
          </w:tcPr>
          <w:p w14:paraId="7C66C5F6" w14:textId="2A7E39A9" w:rsidR="00CD15F5" w:rsidRPr="004C04B5" w:rsidRDefault="00CD15F5" w:rsidP="00A80DC4">
            <w:r>
              <w:t>March 2018</w:t>
            </w:r>
          </w:p>
        </w:tc>
      </w:tr>
    </w:tbl>
    <w:p w14:paraId="5E277D2D" w14:textId="77777777" w:rsidR="00032C5A" w:rsidRPr="004C04B5" w:rsidRDefault="00032C5A" w:rsidP="00032C5A">
      <w:pPr>
        <w:rPr>
          <w:highlight w:val="darkGray"/>
        </w:rPr>
      </w:pPr>
      <w:bookmarkStart w:id="12" w:name="_Toc455047137"/>
    </w:p>
    <w:bookmarkEnd w:id="12"/>
    <w:p w14:paraId="2BFA0BE7" w14:textId="018FFBCD" w:rsidR="00032C5A" w:rsidRPr="004C04B5" w:rsidRDefault="00032C5A" w:rsidP="00032C5A">
      <w:pPr>
        <w:rPr>
          <w:rStyle w:val="Hyperlink"/>
          <w:highlight w:val="darkGray"/>
        </w:rPr>
      </w:pPr>
      <w:r w:rsidRPr="004C04B5">
        <w:rPr>
          <w:rStyle w:val="Hyperlink"/>
          <w:highlight w:val="darkGray"/>
        </w:rPr>
        <w:br w:type="page"/>
      </w:r>
    </w:p>
    <w:p w14:paraId="5C2511ED" w14:textId="77777777" w:rsidR="00032C5A" w:rsidRPr="004C04B5" w:rsidRDefault="00032C5A" w:rsidP="00032C5A">
      <w:pPr>
        <w:pStyle w:val="Heading1"/>
      </w:pPr>
      <w:bookmarkStart w:id="13" w:name="_Toc499706387"/>
      <w:bookmarkStart w:id="14" w:name="_Toc510103889"/>
      <w:r w:rsidRPr="004C04B5">
        <w:lastRenderedPageBreak/>
        <w:t>Engagement Objectives and Scope</w:t>
      </w:r>
      <w:bookmarkEnd w:id="13"/>
      <w:bookmarkEnd w:id="14"/>
    </w:p>
    <w:p w14:paraId="152D8E89" w14:textId="77777777" w:rsidR="00032C5A" w:rsidRPr="004C04B5" w:rsidRDefault="00032C5A" w:rsidP="00032C5A">
      <w:pPr>
        <w:pStyle w:val="Heading2"/>
      </w:pPr>
      <w:bookmarkStart w:id="15" w:name="_Toc499706388"/>
      <w:bookmarkStart w:id="16" w:name="_Toc510103890"/>
      <w:r w:rsidRPr="004C04B5">
        <w:t>Objectives</w:t>
      </w:r>
      <w:bookmarkEnd w:id="15"/>
      <w:bookmarkEnd w:id="16"/>
    </w:p>
    <w:p w14:paraId="0FC1E4A8" w14:textId="5A7706D9" w:rsidR="00032C5A" w:rsidRPr="004C04B5" w:rsidRDefault="00A158EB" w:rsidP="00032C5A">
      <w:pPr>
        <w:rPr>
          <w:caps/>
        </w:rPr>
      </w:pPr>
      <w:r w:rsidRPr="004C04B5">
        <w:t>The objectives for the GDPR Detailed Assessment</w:t>
      </w:r>
      <w:r w:rsidR="003C1910" w:rsidRPr="004C04B5">
        <w:t xml:space="preserve"> are define as:</w:t>
      </w:r>
      <w:r w:rsidRPr="004C04B5">
        <w:t xml:space="preserve"> </w:t>
      </w:r>
    </w:p>
    <w:p w14:paraId="5EC911F6" w14:textId="3F937714" w:rsidR="0052522B" w:rsidRPr="004C04B5" w:rsidRDefault="0052522B" w:rsidP="00465D04">
      <w:pPr>
        <w:pStyle w:val="ListParagraph"/>
        <w:numPr>
          <w:ilvl w:val="0"/>
          <w:numId w:val="25"/>
        </w:numPr>
        <w:spacing w:before="120" w:after="120"/>
        <w:ind w:left="714" w:hanging="357"/>
        <w:contextualSpacing w:val="0"/>
      </w:pPr>
      <w:r w:rsidRPr="004C04B5">
        <w:rPr>
          <w:rStyle w:val="Strong"/>
        </w:rPr>
        <w:t>Understand GDPR compliance objectives</w:t>
      </w:r>
      <w:r w:rsidR="00465D04">
        <w:rPr>
          <w:rStyle w:val="Strong"/>
        </w:rPr>
        <w:br/>
      </w:r>
      <w:r w:rsidRPr="004C04B5">
        <w:t>Gain a common understanding of compliance objectives and GDPR requirements</w:t>
      </w:r>
    </w:p>
    <w:p w14:paraId="39F065AC" w14:textId="6B73E5C3" w:rsidR="0052522B" w:rsidRPr="004C04B5" w:rsidRDefault="0052522B" w:rsidP="00465D04">
      <w:pPr>
        <w:pStyle w:val="ListParagraph"/>
        <w:numPr>
          <w:ilvl w:val="0"/>
          <w:numId w:val="25"/>
        </w:numPr>
        <w:spacing w:before="120" w:after="120"/>
        <w:ind w:left="714" w:hanging="357"/>
        <w:contextualSpacing w:val="0"/>
      </w:pPr>
      <w:r w:rsidRPr="004C04B5">
        <w:rPr>
          <w:rStyle w:val="Strong"/>
        </w:rPr>
        <w:t>Assess GDPR maturity level</w:t>
      </w:r>
      <w:r w:rsidR="00465D04">
        <w:rPr>
          <w:rStyle w:val="Strong"/>
        </w:rPr>
        <w:br/>
      </w:r>
      <w:r w:rsidRPr="004C04B5">
        <w:t>Assess the organization’s preparedness to execute on Discover, Manage, Protect, &amp; Report activities</w:t>
      </w:r>
    </w:p>
    <w:p w14:paraId="438EEE10" w14:textId="39116DCE" w:rsidR="00A158EB" w:rsidRPr="004C04B5" w:rsidRDefault="00A158EB" w:rsidP="00465D04">
      <w:pPr>
        <w:pStyle w:val="ListParagraph"/>
        <w:numPr>
          <w:ilvl w:val="0"/>
          <w:numId w:val="25"/>
        </w:numPr>
        <w:spacing w:before="120" w:after="120"/>
        <w:ind w:left="714" w:hanging="357"/>
        <w:contextualSpacing w:val="0"/>
      </w:pPr>
      <w:r w:rsidRPr="004C04B5">
        <w:rPr>
          <w:rStyle w:val="Strong"/>
        </w:rPr>
        <w:t>Create a GDPR compliance roadmap</w:t>
      </w:r>
      <w:r w:rsidR="00465D04">
        <w:rPr>
          <w:rStyle w:val="Strong"/>
        </w:rPr>
        <w:br/>
      </w:r>
      <w:r w:rsidRPr="004C04B5">
        <w:t>Provide a prioritized and actionable list of next steps and roadmap, ready for legal/advisory review</w:t>
      </w:r>
    </w:p>
    <w:p w14:paraId="5191AE59" w14:textId="77777777" w:rsidR="00032C5A" w:rsidRPr="004C04B5" w:rsidRDefault="00032C5A" w:rsidP="00032C5A">
      <w:pPr>
        <w:pStyle w:val="Heading2"/>
      </w:pPr>
      <w:bookmarkStart w:id="17" w:name="_Ref494376022"/>
      <w:bookmarkStart w:id="18" w:name="_Toc499706389"/>
      <w:bookmarkStart w:id="19" w:name="_Toc510103891"/>
      <w:r w:rsidRPr="004C04B5">
        <w:t>In scope</w:t>
      </w:r>
      <w:bookmarkEnd w:id="17"/>
      <w:bookmarkEnd w:id="18"/>
      <w:bookmarkEnd w:id="19"/>
      <w:r w:rsidRPr="004C04B5">
        <w:t xml:space="preserve"> </w:t>
      </w:r>
    </w:p>
    <w:p w14:paraId="5CDA60B3" w14:textId="61C4A43F" w:rsidR="00032C5A" w:rsidRPr="004C04B5" w:rsidRDefault="00032C5A" w:rsidP="00032C5A">
      <w:r w:rsidRPr="004C04B5">
        <w:t xml:space="preserve">The following </w:t>
      </w:r>
      <w:r w:rsidR="00DE1D6B" w:rsidRPr="004C04B5">
        <w:t>activities</w:t>
      </w:r>
      <w:r w:rsidRPr="004C04B5">
        <w:t xml:space="preserve"> </w:t>
      </w:r>
      <w:proofErr w:type="gramStart"/>
      <w:r w:rsidRPr="004C04B5">
        <w:t xml:space="preserve">are </w:t>
      </w:r>
      <w:r w:rsidR="000A2F6A" w:rsidRPr="004C04B5">
        <w:t>considered to be</w:t>
      </w:r>
      <w:proofErr w:type="gramEnd"/>
      <w:r w:rsidR="000A2F6A" w:rsidRPr="004C04B5">
        <w:t xml:space="preserve"> </w:t>
      </w:r>
      <w:r w:rsidRPr="004C04B5">
        <w:t>in scope for this engagement:</w:t>
      </w:r>
    </w:p>
    <w:p w14:paraId="1D69EBB8" w14:textId="4647FE8C" w:rsidR="00A80DC4" w:rsidRPr="004C04B5" w:rsidRDefault="00A138B6" w:rsidP="00465D04">
      <w:pPr>
        <w:pStyle w:val="ListParagraph"/>
        <w:numPr>
          <w:ilvl w:val="0"/>
          <w:numId w:val="25"/>
        </w:numPr>
        <w:spacing w:before="120" w:after="120" w:line="240" w:lineRule="auto"/>
        <w:ind w:left="714" w:hanging="357"/>
        <w:contextualSpacing w:val="0"/>
        <w:rPr>
          <w:rStyle w:val="Strong"/>
        </w:rPr>
      </w:pPr>
      <w:r w:rsidRPr="004C04B5">
        <w:rPr>
          <w:rStyle w:val="Strong"/>
        </w:rPr>
        <w:t>Preparation for onsite workshop</w:t>
      </w:r>
    </w:p>
    <w:p w14:paraId="5610A7F9" w14:textId="64358FEC" w:rsidR="00A138B6" w:rsidRPr="004C04B5" w:rsidRDefault="00A138B6" w:rsidP="00465D04">
      <w:pPr>
        <w:pStyle w:val="ListParagraph"/>
        <w:numPr>
          <w:ilvl w:val="0"/>
          <w:numId w:val="25"/>
        </w:numPr>
        <w:spacing w:before="120" w:after="120" w:line="240" w:lineRule="auto"/>
        <w:ind w:left="714" w:hanging="357"/>
        <w:contextualSpacing w:val="0"/>
        <w:rPr>
          <w:rStyle w:val="Strong"/>
        </w:rPr>
      </w:pPr>
      <w:r w:rsidRPr="004C04B5">
        <w:rPr>
          <w:rStyle w:val="Strong"/>
        </w:rPr>
        <w:t xml:space="preserve">Onsite </w:t>
      </w:r>
      <w:r w:rsidR="00A80DC4" w:rsidRPr="004C04B5">
        <w:rPr>
          <w:rStyle w:val="Strong"/>
        </w:rPr>
        <w:t xml:space="preserve">delivery of the assessment </w:t>
      </w:r>
      <w:r w:rsidRPr="004C04B5">
        <w:rPr>
          <w:rStyle w:val="Strong"/>
        </w:rPr>
        <w:t>workshop</w:t>
      </w:r>
    </w:p>
    <w:p w14:paraId="6FC3E084" w14:textId="48791966" w:rsidR="00A138B6" w:rsidRPr="004C04B5" w:rsidRDefault="00A138B6" w:rsidP="00465D04">
      <w:pPr>
        <w:pStyle w:val="ListParagraph"/>
        <w:numPr>
          <w:ilvl w:val="0"/>
          <w:numId w:val="25"/>
        </w:numPr>
        <w:spacing w:before="120" w:after="120" w:line="240" w:lineRule="auto"/>
        <w:ind w:left="714" w:hanging="357"/>
        <w:contextualSpacing w:val="0"/>
        <w:rPr>
          <w:rStyle w:val="Strong"/>
        </w:rPr>
      </w:pPr>
      <w:r w:rsidRPr="004C04B5">
        <w:rPr>
          <w:rStyle w:val="Strong"/>
        </w:rPr>
        <w:t xml:space="preserve">Analysis and write-up </w:t>
      </w:r>
    </w:p>
    <w:p w14:paraId="5A778283" w14:textId="5530CA6C" w:rsidR="00A80DC4" w:rsidRPr="004C04B5" w:rsidRDefault="00A80DC4" w:rsidP="00465D04">
      <w:pPr>
        <w:pStyle w:val="ListParagraph"/>
        <w:numPr>
          <w:ilvl w:val="0"/>
          <w:numId w:val="25"/>
        </w:numPr>
        <w:spacing w:before="120" w:after="120" w:line="240" w:lineRule="auto"/>
        <w:ind w:left="714" w:hanging="357"/>
        <w:contextualSpacing w:val="0"/>
        <w:rPr>
          <w:rStyle w:val="Strong"/>
        </w:rPr>
      </w:pPr>
      <w:r w:rsidRPr="004C04B5">
        <w:rPr>
          <w:rStyle w:val="Strong"/>
        </w:rPr>
        <w:t>Onsite presentation of the findings and recommendations</w:t>
      </w:r>
    </w:p>
    <w:p w14:paraId="11A7B9F0" w14:textId="77777777" w:rsidR="00032C5A" w:rsidRPr="004C04B5" w:rsidRDefault="00032C5A" w:rsidP="00032C5A">
      <w:pPr>
        <w:pStyle w:val="Heading2"/>
      </w:pPr>
      <w:bookmarkStart w:id="20" w:name="_Toc499706390"/>
      <w:bookmarkStart w:id="21" w:name="_Toc510103892"/>
      <w:r w:rsidRPr="004C04B5">
        <w:t>Out of scope</w:t>
      </w:r>
      <w:bookmarkEnd w:id="20"/>
      <w:bookmarkEnd w:id="21"/>
    </w:p>
    <w:p w14:paraId="48DCBF41" w14:textId="5275AC85" w:rsidR="00036CF0" w:rsidRPr="004C04B5" w:rsidRDefault="00036CF0" w:rsidP="00036CF0">
      <w:r w:rsidRPr="004C04B5">
        <w:t xml:space="preserve">Any area that is not explicitly listed in the “in-scope” section as “within scope” is out of scope for this engagement. The areas that are out of scope for this engagement include, but are not limited to, the following:  </w:t>
      </w:r>
    </w:p>
    <w:p w14:paraId="4F47D2CA" w14:textId="2FF8EBBD" w:rsidR="00036CF0" w:rsidRPr="004C04B5" w:rsidRDefault="00036CF0" w:rsidP="00465D04">
      <w:pPr>
        <w:pStyle w:val="ListParagraph"/>
        <w:numPr>
          <w:ilvl w:val="0"/>
          <w:numId w:val="25"/>
        </w:numPr>
        <w:spacing w:before="120" w:after="120" w:line="240" w:lineRule="auto"/>
        <w:ind w:left="714" w:hanging="357"/>
        <w:contextualSpacing w:val="0"/>
      </w:pPr>
      <w:r w:rsidRPr="004C04B5">
        <w:rPr>
          <w:rStyle w:val="Strong"/>
        </w:rPr>
        <w:t>Technical designs or product implementations</w:t>
      </w:r>
      <w:r w:rsidR="00465D04">
        <w:rPr>
          <w:rStyle w:val="Strong"/>
        </w:rPr>
        <w:br/>
      </w:r>
      <w:r w:rsidRPr="004C04B5">
        <w:t xml:space="preserve">The </w:t>
      </w:r>
      <w:r w:rsidR="000A2F6A" w:rsidRPr="004C04B5">
        <w:t>activities</w:t>
      </w:r>
      <w:r w:rsidRPr="004C04B5">
        <w:t xml:space="preserve"> for the GDPR Detailed Assessment do not include the creation of design documents of any kind or the implementation o</w:t>
      </w:r>
      <w:r w:rsidR="000A2F6A" w:rsidRPr="004C04B5">
        <w:t>f products or enablement of services.</w:t>
      </w:r>
    </w:p>
    <w:p w14:paraId="67DAE2F3" w14:textId="09B55A61" w:rsidR="00DE1D6B" w:rsidRPr="00465D04" w:rsidRDefault="00036CF0" w:rsidP="00465D04">
      <w:pPr>
        <w:pStyle w:val="ListParagraph"/>
        <w:numPr>
          <w:ilvl w:val="0"/>
          <w:numId w:val="25"/>
        </w:numPr>
        <w:spacing w:before="120" w:after="120" w:line="240" w:lineRule="auto"/>
        <w:ind w:left="714" w:hanging="357"/>
        <w:contextualSpacing w:val="0"/>
        <w:rPr>
          <w:rStyle w:val="Strong"/>
          <w:b w:val="0"/>
        </w:rPr>
      </w:pPr>
      <w:r w:rsidRPr="004C04B5">
        <w:rPr>
          <w:rStyle w:val="Strong"/>
        </w:rPr>
        <w:t>Proof of concepts or labs</w:t>
      </w:r>
      <w:r w:rsidR="00465D04">
        <w:rPr>
          <w:rStyle w:val="Strong"/>
        </w:rPr>
        <w:br/>
      </w:r>
      <w:r w:rsidR="00A138B6" w:rsidRPr="00465D04">
        <w:rPr>
          <w:rStyle w:val="Strong"/>
          <w:b w:val="0"/>
        </w:rPr>
        <w:t>The design, installation and operation of test labs and or proof of concepts are not part of the engagement.</w:t>
      </w:r>
    </w:p>
    <w:p w14:paraId="3F69A38E" w14:textId="63643132" w:rsidR="000A2F6A" w:rsidRPr="004C04B5" w:rsidRDefault="00036CF0" w:rsidP="00465D04">
      <w:pPr>
        <w:pStyle w:val="ListParagraph"/>
        <w:numPr>
          <w:ilvl w:val="0"/>
          <w:numId w:val="25"/>
        </w:numPr>
        <w:spacing w:before="120" w:after="120" w:line="240" w:lineRule="auto"/>
        <w:ind w:left="714" w:hanging="357"/>
        <w:contextualSpacing w:val="0"/>
      </w:pPr>
      <w:r w:rsidRPr="004C04B5">
        <w:rPr>
          <w:rStyle w:val="Strong"/>
        </w:rPr>
        <w:t>Recommendations for non-Microsoft technology</w:t>
      </w:r>
      <w:r w:rsidR="00465D04">
        <w:rPr>
          <w:rStyle w:val="Strong"/>
        </w:rPr>
        <w:br/>
      </w:r>
      <w:r w:rsidR="00506ECD" w:rsidRPr="004C04B5">
        <w:t>Recommendations for non-Microsoft products and or services are not part of the deliverables for this engagement</w:t>
      </w:r>
    </w:p>
    <w:p w14:paraId="24CC49B9" w14:textId="77777777" w:rsidR="00465D04" w:rsidRDefault="00465D04">
      <w:pPr>
        <w:rPr>
          <w:rFonts w:ascii="Segoe UI Light" w:eastAsiaTheme="majorEastAsia" w:hAnsi="Segoe UI Light" w:cs="Segoe UI Light"/>
          <w:color w:val="2E74B5" w:themeColor="accent1" w:themeShade="BF"/>
          <w:sz w:val="32"/>
          <w:szCs w:val="32"/>
        </w:rPr>
      </w:pPr>
      <w:bookmarkStart w:id="22" w:name="_Toc499706392"/>
      <w:r>
        <w:br w:type="page"/>
      </w:r>
    </w:p>
    <w:p w14:paraId="22871F76" w14:textId="1E75B5CD" w:rsidR="00465D04" w:rsidRDefault="00465D04" w:rsidP="00032C5A">
      <w:pPr>
        <w:pStyle w:val="Heading1"/>
      </w:pPr>
      <w:bookmarkStart w:id="23" w:name="_Toc510103893"/>
      <w:r>
        <w:lastRenderedPageBreak/>
        <w:t>Project Approach</w:t>
      </w:r>
      <w:bookmarkEnd w:id="23"/>
    </w:p>
    <w:p w14:paraId="645601E7" w14:textId="5A3016D7" w:rsidR="00465D04" w:rsidRPr="00465D04" w:rsidRDefault="00465D04" w:rsidP="00465D04">
      <w:r w:rsidRPr="00465D04">
        <w:t xml:space="preserve">The GDPR Detailed Assessment is a three-step process that Microsoft partners will engage in with their customers to assess their overall GDPR maturity. </w:t>
      </w:r>
    </w:p>
    <w:p w14:paraId="6882E527" w14:textId="77777777" w:rsidR="00465D04" w:rsidRDefault="00465D04" w:rsidP="00465D04">
      <w:r w:rsidRPr="00465D04">
        <w:t>The illustration below depicts a high-level overview of the steps and their activities.</w:t>
      </w:r>
    </w:p>
    <w:p w14:paraId="2822B0B0" w14:textId="176DFAE4" w:rsidR="00CD15F5" w:rsidRPr="00465D04" w:rsidRDefault="00CD15F5" w:rsidP="00465D04">
      <w:pPr>
        <w:jc w:val="center"/>
      </w:pPr>
      <w:r>
        <w:object w:dxaOrig="9391" w:dyaOrig="4381" w14:anchorId="10CA2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65pt;height:162pt" o:ole="">
            <v:imagedata r:id="rId12" o:title=""/>
          </v:shape>
          <o:OLEObject Type="Embed" ProgID="Visio.Drawing.15" ShapeID="_x0000_i1025" DrawAspect="Content" ObjectID="_1584365253" r:id="rId13"/>
        </w:object>
      </w:r>
    </w:p>
    <w:p w14:paraId="6CB36A52" w14:textId="37C1D7F8" w:rsidR="00032C5A" w:rsidRPr="004C04B5" w:rsidRDefault="00032C5A" w:rsidP="00032C5A">
      <w:pPr>
        <w:pStyle w:val="Heading1"/>
      </w:pPr>
      <w:bookmarkStart w:id="24" w:name="_Toc510103894"/>
      <w:r w:rsidRPr="004C04B5">
        <w:t>Timeline</w:t>
      </w:r>
      <w:bookmarkStart w:id="25" w:name="_GoBack"/>
      <w:bookmarkEnd w:id="22"/>
      <w:bookmarkEnd w:id="24"/>
      <w:bookmarkEnd w:id="25"/>
    </w:p>
    <w:p w14:paraId="41E0B448" w14:textId="793E5514" w:rsidR="00465D04" w:rsidRDefault="00465D04" w:rsidP="00465D04">
      <w:r w:rsidRPr="00465D04">
        <w:t xml:space="preserve">The overall duration for the engagement is expected to be between 3-4 weeks, while the total effort is estimated to be </w:t>
      </w:r>
      <w:r>
        <w:t>12</w:t>
      </w:r>
      <w:r w:rsidR="00DD6E1A">
        <w:t>-40</w:t>
      </w:r>
      <w:r w:rsidRPr="00465D04">
        <w:t xml:space="preserve"> hrs. depending on the complexity of the organization and the number of </w:t>
      </w:r>
      <w:r w:rsidR="00CD15F5">
        <w:t>responders participating in the workshop(s)</w:t>
      </w:r>
      <w:r w:rsidRPr="00465D04">
        <w:t>.</w:t>
      </w:r>
    </w:p>
    <w:p w14:paraId="3A02BE35" w14:textId="0AE2BF8E" w:rsidR="00032C5A" w:rsidRPr="004C04B5" w:rsidRDefault="00206581" w:rsidP="00465D04">
      <w:r w:rsidRPr="004C04B5">
        <w:t>The illustration below depicts the estimated time line for the GDPR Detailed Assessment.</w:t>
      </w:r>
    </w:p>
    <w:p w14:paraId="4B0C684D" w14:textId="37DB71B2" w:rsidR="00CD15F5" w:rsidRPr="004C04B5" w:rsidRDefault="00CD15F5" w:rsidP="00032C5A">
      <w:r w:rsidRPr="00C01D53">
        <w:rPr>
          <w:rStyle w:val="Hyperlink"/>
          <w:noProof/>
          <w:highlight w:val="darkGray"/>
        </w:rPr>
        <mc:AlternateContent>
          <mc:Choice Requires="wps">
            <w:drawing>
              <wp:anchor distT="45720" distB="45720" distL="114300" distR="114300" simplePos="0" relativeHeight="251664389" behindDoc="0" locked="0" layoutInCell="1" allowOverlap="1" wp14:anchorId="2BC44E47" wp14:editId="5E7BF765">
                <wp:simplePos x="0" y="0"/>
                <wp:positionH relativeFrom="column">
                  <wp:posOffset>4238625</wp:posOffset>
                </wp:positionH>
                <wp:positionV relativeFrom="paragraph">
                  <wp:posOffset>1562735</wp:posOffset>
                </wp:positionV>
                <wp:extent cx="2552700" cy="20097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009775"/>
                        </a:xfrm>
                        <a:prstGeom prst="rect">
                          <a:avLst/>
                        </a:prstGeom>
                        <a:solidFill>
                          <a:srgbClr val="FFFFFF"/>
                        </a:solidFill>
                        <a:ln w="9525">
                          <a:solidFill>
                            <a:srgbClr val="FF0000"/>
                          </a:solidFill>
                          <a:miter lim="800000"/>
                          <a:headEnd/>
                          <a:tailEnd/>
                        </a:ln>
                      </wps:spPr>
                      <wps:txbx>
                        <w:txbxContent>
                          <w:p w14:paraId="6F3DBBA6" w14:textId="0143D1C8" w:rsidR="00CD15F5" w:rsidRPr="00CD15F5" w:rsidRDefault="00CD15F5" w:rsidP="00CD15F5">
                            <w:pPr>
                              <w:jc w:val="both"/>
                              <w:rPr>
                                <w:b/>
                                <w:color w:val="FF0000"/>
                                <w:sz w:val="20"/>
                              </w:rPr>
                            </w:pPr>
                            <w:r w:rsidRPr="00CD15F5">
                              <w:rPr>
                                <w:b/>
                                <w:color w:val="FF0000"/>
                                <w:sz w:val="20"/>
                              </w:rPr>
                              <w:t>Compliance Manager can be used to assess the GDPR compliance posture of the customers assets in the Microsoft Cloud Tenant.</w:t>
                            </w:r>
                          </w:p>
                          <w:p w14:paraId="21D392D7" w14:textId="1EA4D5FA" w:rsidR="00CD15F5" w:rsidRPr="00CD15F5" w:rsidRDefault="00CD15F5" w:rsidP="00CD15F5">
                            <w:pPr>
                              <w:jc w:val="both"/>
                              <w:rPr>
                                <w:b/>
                                <w:color w:val="FF0000"/>
                                <w:sz w:val="20"/>
                              </w:rPr>
                            </w:pPr>
                            <w:r w:rsidRPr="00CD15F5">
                              <w:rPr>
                                <w:b/>
                                <w:color w:val="FF0000"/>
                                <w:sz w:val="20"/>
                              </w:rPr>
                              <w:t>Refer to the delivery guide for guidance on additional effort and add relevant details to the sections o</w:t>
                            </w:r>
                            <w:r>
                              <w:rPr>
                                <w:b/>
                                <w:color w:val="FF0000"/>
                                <w:sz w:val="20"/>
                              </w:rPr>
                              <w:t>f</w:t>
                            </w:r>
                            <w:r w:rsidRPr="00CD15F5">
                              <w:rPr>
                                <w:b/>
                                <w:color w:val="FF0000"/>
                                <w:sz w:val="20"/>
                              </w:rPr>
                              <w:t xml:space="preserve"> this statement of work.</w:t>
                            </w:r>
                          </w:p>
                          <w:p w14:paraId="2E54B030" w14:textId="77777777" w:rsidR="00CD15F5" w:rsidRPr="00CD15F5" w:rsidRDefault="00CD15F5" w:rsidP="00CD15F5">
                            <w:pPr>
                              <w:jc w:val="both"/>
                              <w:rPr>
                                <w:b/>
                                <w:color w:val="FF0000"/>
                                <w:sz w:val="20"/>
                              </w:rPr>
                            </w:pPr>
                            <w:r w:rsidRPr="00CD15F5">
                              <w:rPr>
                                <w:b/>
                                <w:color w:val="FF0000"/>
                                <w:sz w:val="20"/>
                              </w:rPr>
                              <w:t>(Select the text box and click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44E47" id="_x0000_s1027" type="#_x0000_t202" style="position:absolute;margin-left:333.75pt;margin-top:123.05pt;width:201pt;height:158.25pt;z-index:2516643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" strokecolor="red">
                <v:textbox>
                  <w:txbxContent>
                    <w:p w14:paraId="6F3DBBA6" w14:textId="0143D1C8" w:rsidR="00CD15F5" w:rsidRPr="00CD15F5" w:rsidRDefault="00CD15F5" w:rsidP="00CD15F5">
                      <w:pPr>
                        <w:jc w:val="both"/>
                        <w:rPr>
                          <w:b/>
                          <w:color w:val="FF0000"/>
                          <w:sz w:val="20"/>
                        </w:rPr>
                      </w:pPr>
                      <w:r w:rsidRPr="00CD15F5">
                        <w:rPr>
                          <w:b/>
                          <w:color w:val="FF0000"/>
                          <w:sz w:val="20"/>
                        </w:rPr>
                        <w:t>Compliance Manager can be used to assess the GDPR compliance posture of the customers assets in the Microsoft Cloud Tenant.</w:t>
                      </w:r>
                    </w:p>
                    <w:p w14:paraId="21D392D7" w14:textId="1EA4D5FA" w:rsidR="00CD15F5" w:rsidRPr="00CD15F5" w:rsidRDefault="00CD15F5" w:rsidP="00CD15F5">
                      <w:pPr>
                        <w:jc w:val="both"/>
                        <w:rPr>
                          <w:b/>
                          <w:color w:val="FF0000"/>
                          <w:sz w:val="20"/>
                        </w:rPr>
                      </w:pPr>
                      <w:r w:rsidRPr="00CD15F5">
                        <w:rPr>
                          <w:b/>
                          <w:color w:val="FF0000"/>
                          <w:sz w:val="20"/>
                        </w:rPr>
                        <w:t>Refer to the delivery guide for guidance on additional effort and add relevant details to the sections o</w:t>
                      </w:r>
                      <w:r>
                        <w:rPr>
                          <w:b/>
                          <w:color w:val="FF0000"/>
                          <w:sz w:val="20"/>
                        </w:rPr>
                        <w:t>f</w:t>
                      </w:r>
                      <w:r w:rsidRPr="00CD15F5">
                        <w:rPr>
                          <w:b/>
                          <w:color w:val="FF0000"/>
                          <w:sz w:val="20"/>
                        </w:rPr>
                        <w:t xml:space="preserve"> this statement of work.</w:t>
                      </w:r>
                    </w:p>
                    <w:p w14:paraId="2E54B030" w14:textId="77777777" w:rsidR="00CD15F5" w:rsidRPr="00CD15F5" w:rsidRDefault="00CD15F5" w:rsidP="00CD15F5">
                      <w:pPr>
                        <w:jc w:val="both"/>
                        <w:rPr>
                          <w:b/>
                          <w:color w:val="FF0000"/>
                          <w:sz w:val="20"/>
                        </w:rPr>
                      </w:pPr>
                      <w:r w:rsidRPr="00CD15F5">
                        <w:rPr>
                          <w:b/>
                          <w:color w:val="FF0000"/>
                          <w:sz w:val="20"/>
                        </w:rPr>
                        <w:t>(Select the text box and click delete)</w:t>
                      </w:r>
                    </w:p>
                  </w:txbxContent>
                </v:textbox>
              </v:shape>
            </w:pict>
          </mc:Fallback>
        </mc:AlternateContent>
      </w:r>
      <w:r>
        <w:rPr>
          <w:noProof/>
        </w:rPr>
        <w:drawing>
          <wp:inline distT="0" distB="0" distL="0" distR="0" wp14:anchorId="135C5B99" wp14:editId="732BDF25">
            <wp:extent cx="5505450" cy="2229237"/>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20" cy="2233072"/>
                    </a:xfrm>
                    <a:prstGeom prst="rect">
                      <a:avLst/>
                    </a:prstGeom>
                    <a:noFill/>
                    <a:ln>
                      <a:solidFill>
                        <a:schemeClr val="accent1"/>
                      </a:solidFill>
                    </a:ln>
                  </pic:spPr>
                </pic:pic>
              </a:graphicData>
            </a:graphic>
          </wp:inline>
        </w:drawing>
      </w:r>
    </w:p>
    <w:p w14:paraId="1647B8D2" w14:textId="1529FD0D" w:rsidR="00032C5A" w:rsidRPr="004C04B5" w:rsidRDefault="00FE3BF4" w:rsidP="00206581">
      <w:pPr>
        <w:rPr>
          <w:rStyle w:val="Strong"/>
        </w:rPr>
      </w:pPr>
      <w:r w:rsidRPr="004C04B5">
        <w:rPr>
          <w:rStyle w:val="Strong"/>
        </w:rPr>
        <w:t>Total effort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8"/>
        <w:gridCol w:w="932"/>
        <w:gridCol w:w="900"/>
      </w:tblGrid>
      <w:tr w:rsidR="00FE3BF4" w:rsidRPr="004C04B5" w14:paraId="592C0C96" w14:textId="77777777" w:rsidTr="00DD6E1A">
        <w:tc>
          <w:tcPr>
            <w:tcW w:w="4378" w:type="dxa"/>
          </w:tcPr>
          <w:p w14:paraId="22BA980F" w14:textId="0E1D6828" w:rsidR="00FE3BF4" w:rsidRPr="004C04B5" w:rsidRDefault="00FE3BF4" w:rsidP="00032C5A">
            <w:r w:rsidRPr="004C04B5">
              <w:t>Pre-engagement meeting</w:t>
            </w:r>
          </w:p>
        </w:tc>
        <w:tc>
          <w:tcPr>
            <w:tcW w:w="932" w:type="dxa"/>
          </w:tcPr>
          <w:p w14:paraId="6B683DBB" w14:textId="52AB1F1A" w:rsidR="00FE3BF4" w:rsidRPr="004C04B5" w:rsidRDefault="00FE3BF4" w:rsidP="008E289E">
            <w:pPr>
              <w:jc w:val="right"/>
            </w:pPr>
            <w:r w:rsidRPr="004C04B5">
              <w:t>2</w:t>
            </w:r>
          </w:p>
        </w:tc>
        <w:tc>
          <w:tcPr>
            <w:tcW w:w="900" w:type="dxa"/>
          </w:tcPr>
          <w:p w14:paraId="19151750" w14:textId="239CB479" w:rsidR="00FE3BF4" w:rsidRPr="004C04B5" w:rsidRDefault="008E289E" w:rsidP="00032C5A">
            <w:r w:rsidRPr="004C04B5">
              <w:t>Hrs.</w:t>
            </w:r>
          </w:p>
        </w:tc>
      </w:tr>
      <w:tr w:rsidR="00FE3BF4" w:rsidRPr="004C04B5" w14:paraId="010A920E" w14:textId="77777777" w:rsidTr="00DD6E1A">
        <w:tc>
          <w:tcPr>
            <w:tcW w:w="4378" w:type="dxa"/>
          </w:tcPr>
          <w:p w14:paraId="2DB521D0" w14:textId="7A721C3B" w:rsidR="00FE3BF4" w:rsidRPr="004C04B5" w:rsidRDefault="00FE3BF4" w:rsidP="00032C5A">
            <w:r w:rsidRPr="004C04B5">
              <w:t>On-site assessment + write up</w:t>
            </w:r>
          </w:p>
        </w:tc>
        <w:tc>
          <w:tcPr>
            <w:tcW w:w="932" w:type="dxa"/>
          </w:tcPr>
          <w:p w14:paraId="18DEF7EA" w14:textId="2CB27DBA" w:rsidR="00FE3BF4" w:rsidRPr="004C04B5" w:rsidRDefault="00FE3BF4" w:rsidP="008E289E">
            <w:pPr>
              <w:jc w:val="right"/>
            </w:pPr>
            <w:r w:rsidRPr="004C04B5">
              <w:t>8</w:t>
            </w:r>
            <w:r w:rsidR="00DD6E1A">
              <w:t>-36</w:t>
            </w:r>
          </w:p>
        </w:tc>
        <w:tc>
          <w:tcPr>
            <w:tcW w:w="900" w:type="dxa"/>
          </w:tcPr>
          <w:p w14:paraId="3CD98D32" w14:textId="2E6D5CE0" w:rsidR="00FE3BF4" w:rsidRPr="004C04B5" w:rsidRDefault="008E289E" w:rsidP="00032C5A">
            <w:r w:rsidRPr="004C04B5">
              <w:t>Hrs.</w:t>
            </w:r>
          </w:p>
        </w:tc>
      </w:tr>
      <w:tr w:rsidR="00FE3BF4" w:rsidRPr="004C04B5" w14:paraId="2C942A28" w14:textId="77777777" w:rsidTr="00DD6E1A">
        <w:tc>
          <w:tcPr>
            <w:tcW w:w="4378" w:type="dxa"/>
          </w:tcPr>
          <w:p w14:paraId="439AF1A2" w14:textId="1E618D42" w:rsidR="00FE3BF4" w:rsidRPr="004C04B5" w:rsidRDefault="00FE3BF4" w:rsidP="00032C5A">
            <w:r w:rsidRPr="004C04B5">
              <w:t>Final presentation</w:t>
            </w:r>
          </w:p>
        </w:tc>
        <w:tc>
          <w:tcPr>
            <w:tcW w:w="932" w:type="dxa"/>
            <w:tcBorders>
              <w:bottom w:val="single" w:sz="18" w:space="0" w:color="auto"/>
            </w:tcBorders>
          </w:tcPr>
          <w:p w14:paraId="2A34A7FF" w14:textId="2DC69E92" w:rsidR="00FE3BF4" w:rsidRPr="004C04B5" w:rsidRDefault="00FE3BF4" w:rsidP="008E289E">
            <w:pPr>
              <w:jc w:val="right"/>
            </w:pPr>
            <w:r w:rsidRPr="004C04B5">
              <w:t>2</w:t>
            </w:r>
          </w:p>
        </w:tc>
        <w:tc>
          <w:tcPr>
            <w:tcW w:w="900" w:type="dxa"/>
            <w:tcBorders>
              <w:bottom w:val="single" w:sz="18" w:space="0" w:color="auto"/>
            </w:tcBorders>
          </w:tcPr>
          <w:p w14:paraId="411DBACD" w14:textId="03E6FA39" w:rsidR="00FE3BF4" w:rsidRPr="004C04B5" w:rsidRDefault="008E289E" w:rsidP="00032C5A">
            <w:r w:rsidRPr="004C04B5">
              <w:t>Hrs.</w:t>
            </w:r>
          </w:p>
        </w:tc>
      </w:tr>
      <w:tr w:rsidR="00FE3BF4" w:rsidRPr="004C04B5" w14:paraId="55523787" w14:textId="77777777" w:rsidTr="00DD6E1A">
        <w:tc>
          <w:tcPr>
            <w:tcW w:w="4378" w:type="dxa"/>
          </w:tcPr>
          <w:p w14:paraId="3A187424" w14:textId="7C6AD386" w:rsidR="00FE3BF4" w:rsidRPr="008E289E" w:rsidRDefault="00FE3BF4" w:rsidP="00032C5A">
            <w:pPr>
              <w:rPr>
                <w:b/>
              </w:rPr>
            </w:pPr>
            <w:r w:rsidRPr="008E289E">
              <w:rPr>
                <w:b/>
              </w:rPr>
              <w:t>Total</w:t>
            </w:r>
          </w:p>
        </w:tc>
        <w:tc>
          <w:tcPr>
            <w:tcW w:w="932" w:type="dxa"/>
            <w:tcBorders>
              <w:top w:val="single" w:sz="18" w:space="0" w:color="auto"/>
            </w:tcBorders>
          </w:tcPr>
          <w:p w14:paraId="572C68FC" w14:textId="6379618A" w:rsidR="00FE3BF4" w:rsidRPr="008E289E" w:rsidRDefault="00FE3BF4" w:rsidP="008E289E">
            <w:pPr>
              <w:jc w:val="right"/>
              <w:rPr>
                <w:b/>
              </w:rPr>
            </w:pPr>
            <w:r w:rsidRPr="008E289E">
              <w:rPr>
                <w:b/>
              </w:rPr>
              <w:t>12</w:t>
            </w:r>
            <w:r w:rsidR="00DD6E1A">
              <w:rPr>
                <w:b/>
              </w:rPr>
              <w:t>-40</w:t>
            </w:r>
          </w:p>
        </w:tc>
        <w:tc>
          <w:tcPr>
            <w:tcW w:w="900" w:type="dxa"/>
            <w:tcBorders>
              <w:top w:val="single" w:sz="18" w:space="0" w:color="auto"/>
            </w:tcBorders>
          </w:tcPr>
          <w:p w14:paraId="5DC47891" w14:textId="1667D241" w:rsidR="00FE3BF4" w:rsidRPr="008E289E" w:rsidRDefault="008E289E" w:rsidP="00032C5A">
            <w:pPr>
              <w:rPr>
                <w:b/>
              </w:rPr>
            </w:pPr>
            <w:r w:rsidRPr="008E289E">
              <w:rPr>
                <w:b/>
              </w:rPr>
              <w:t>Hrs.</w:t>
            </w:r>
          </w:p>
        </w:tc>
      </w:tr>
    </w:tbl>
    <w:p w14:paraId="2B218F60" w14:textId="77777777" w:rsidR="00032C5A" w:rsidRPr="004C04B5" w:rsidRDefault="00032C5A" w:rsidP="00032C5A">
      <w:pPr>
        <w:pStyle w:val="Heading1"/>
      </w:pPr>
      <w:bookmarkStart w:id="26" w:name="_Toc499706393"/>
      <w:bookmarkStart w:id="27" w:name="_Toc510103895"/>
      <w:r w:rsidRPr="004C04B5">
        <w:lastRenderedPageBreak/>
        <w:t>Deliverables and work products</w:t>
      </w:r>
      <w:bookmarkEnd w:id="26"/>
      <w:bookmarkEnd w:id="27"/>
    </w:p>
    <w:p w14:paraId="418617BD" w14:textId="62A34293" w:rsidR="00032C5A" w:rsidRPr="004C04B5" w:rsidRDefault="00032C5A" w:rsidP="00032C5A">
      <w:r w:rsidRPr="004C04B5">
        <w:t xml:space="preserve">The following deliverables and work products are part of the </w:t>
      </w:r>
      <w:r w:rsidR="00FE3BF4" w:rsidRPr="004C04B5">
        <w:t>GDPR Detailed</w:t>
      </w:r>
      <w:r w:rsidRPr="004C04B5">
        <w:t xml:space="preserve"> Assessment:</w:t>
      </w:r>
    </w:p>
    <w:tbl>
      <w:tblPr>
        <w:tblStyle w:val="ListTable3-Accent1"/>
        <w:tblW w:w="9400" w:type="dxa"/>
        <w:tblLayout w:type="fixed"/>
        <w:tblLook w:val="0420" w:firstRow="1" w:lastRow="0" w:firstColumn="0" w:lastColumn="0" w:noHBand="0" w:noVBand="1"/>
      </w:tblPr>
      <w:tblGrid>
        <w:gridCol w:w="1696"/>
        <w:gridCol w:w="1134"/>
        <w:gridCol w:w="4820"/>
        <w:gridCol w:w="1750"/>
      </w:tblGrid>
      <w:tr w:rsidR="00032C5A" w:rsidRPr="008E289E" w14:paraId="772EE35C" w14:textId="77777777" w:rsidTr="00E81F22">
        <w:trPr>
          <w:cnfStyle w:val="100000000000" w:firstRow="1" w:lastRow="0" w:firstColumn="0" w:lastColumn="0" w:oddVBand="0" w:evenVBand="0" w:oddHBand="0" w:evenHBand="0" w:firstRowFirstColumn="0" w:firstRowLastColumn="0" w:lastRowFirstColumn="0" w:lastRowLastColumn="0"/>
        </w:trPr>
        <w:tc>
          <w:tcPr>
            <w:tcW w:w="1696" w:type="dxa"/>
          </w:tcPr>
          <w:p w14:paraId="50497A89" w14:textId="77777777" w:rsidR="00032C5A" w:rsidRPr="008E289E" w:rsidRDefault="00032C5A" w:rsidP="00A80DC4">
            <w:pPr>
              <w:tabs>
                <w:tab w:val="right" w:pos="3474"/>
              </w:tabs>
              <w:rPr>
                <w:color w:val="E7E6E6" w:themeColor="background2"/>
              </w:rPr>
            </w:pPr>
            <w:r w:rsidRPr="008E289E">
              <w:rPr>
                <w:color w:val="E7E6E6" w:themeColor="background2"/>
              </w:rPr>
              <w:t>Name</w:t>
            </w:r>
          </w:p>
        </w:tc>
        <w:tc>
          <w:tcPr>
            <w:tcW w:w="1134" w:type="dxa"/>
          </w:tcPr>
          <w:p w14:paraId="2DEEC18C" w14:textId="77777777" w:rsidR="00032C5A" w:rsidRPr="008E289E" w:rsidRDefault="00032C5A" w:rsidP="00A80DC4">
            <w:pPr>
              <w:rPr>
                <w:color w:val="E7E6E6" w:themeColor="background2"/>
              </w:rPr>
            </w:pPr>
            <w:r w:rsidRPr="008E289E">
              <w:rPr>
                <w:color w:val="E7E6E6" w:themeColor="background2"/>
              </w:rPr>
              <w:t>Type</w:t>
            </w:r>
          </w:p>
        </w:tc>
        <w:tc>
          <w:tcPr>
            <w:tcW w:w="4820" w:type="dxa"/>
          </w:tcPr>
          <w:p w14:paraId="3B83E14A" w14:textId="77777777" w:rsidR="00032C5A" w:rsidRPr="008E289E" w:rsidRDefault="00032C5A" w:rsidP="00A80DC4">
            <w:pPr>
              <w:rPr>
                <w:color w:val="E7E6E6" w:themeColor="background2"/>
              </w:rPr>
            </w:pPr>
            <w:r w:rsidRPr="008E289E">
              <w:rPr>
                <w:color w:val="E7E6E6" w:themeColor="background2"/>
              </w:rPr>
              <w:t>Description</w:t>
            </w:r>
          </w:p>
        </w:tc>
        <w:tc>
          <w:tcPr>
            <w:tcW w:w="1750" w:type="dxa"/>
          </w:tcPr>
          <w:p w14:paraId="4D66AE05" w14:textId="77777777" w:rsidR="00032C5A" w:rsidRPr="008E289E" w:rsidRDefault="00032C5A" w:rsidP="00A80DC4">
            <w:pPr>
              <w:rPr>
                <w:color w:val="E7E6E6" w:themeColor="background2"/>
              </w:rPr>
            </w:pPr>
            <w:r w:rsidRPr="008E289E">
              <w:rPr>
                <w:color w:val="E7E6E6" w:themeColor="background2"/>
              </w:rPr>
              <w:t>Delivery Date</w:t>
            </w:r>
          </w:p>
        </w:tc>
      </w:tr>
      <w:tr w:rsidR="00FE3BF4" w:rsidRPr="008E289E" w14:paraId="746C75C3" w14:textId="77777777" w:rsidTr="00E81F22">
        <w:trPr>
          <w:cnfStyle w:val="000000100000" w:firstRow="0" w:lastRow="0" w:firstColumn="0" w:lastColumn="0" w:oddVBand="0" w:evenVBand="0" w:oddHBand="1" w:evenHBand="0" w:firstRowFirstColumn="0" w:firstRowLastColumn="0" w:lastRowFirstColumn="0" w:lastRowLastColumn="0"/>
        </w:trPr>
        <w:tc>
          <w:tcPr>
            <w:tcW w:w="1696" w:type="dxa"/>
            <w:tcMar>
              <w:top w:w="57" w:type="dxa"/>
              <w:bottom w:w="57" w:type="dxa"/>
            </w:tcMar>
          </w:tcPr>
          <w:p w14:paraId="3DBAA505" w14:textId="63E72537" w:rsidR="00FE3BF4" w:rsidRPr="00E81F22" w:rsidRDefault="00FE3BF4" w:rsidP="00A80DC4">
            <w:pPr>
              <w:rPr>
                <w:b/>
                <w:sz w:val="18"/>
              </w:rPr>
            </w:pPr>
            <w:r w:rsidRPr="00E81F22">
              <w:rPr>
                <w:b/>
                <w:sz w:val="18"/>
              </w:rPr>
              <w:t>Pre-engagement meeting</w:t>
            </w:r>
          </w:p>
        </w:tc>
        <w:tc>
          <w:tcPr>
            <w:tcW w:w="1134" w:type="dxa"/>
            <w:tcMar>
              <w:top w:w="57" w:type="dxa"/>
              <w:bottom w:w="57" w:type="dxa"/>
            </w:tcMar>
          </w:tcPr>
          <w:p w14:paraId="3C599260" w14:textId="0C6F1E4B" w:rsidR="00FE3BF4" w:rsidRPr="00E81F22" w:rsidRDefault="00FE3BF4" w:rsidP="00A80DC4">
            <w:pPr>
              <w:rPr>
                <w:sz w:val="18"/>
              </w:rPr>
            </w:pPr>
            <w:r w:rsidRPr="00E81F22">
              <w:rPr>
                <w:sz w:val="18"/>
              </w:rPr>
              <w:t>Work product</w:t>
            </w:r>
          </w:p>
        </w:tc>
        <w:tc>
          <w:tcPr>
            <w:tcW w:w="4820" w:type="dxa"/>
            <w:tcMar>
              <w:top w:w="57" w:type="dxa"/>
              <w:bottom w:w="57" w:type="dxa"/>
            </w:tcMar>
          </w:tcPr>
          <w:p w14:paraId="255CD025" w14:textId="2FCE63B5" w:rsidR="00FE3BF4" w:rsidRPr="00E81F22" w:rsidRDefault="00FE3BF4" w:rsidP="00FE3BF4">
            <w:pPr>
              <w:rPr>
                <w:sz w:val="18"/>
              </w:rPr>
            </w:pPr>
            <w:r w:rsidRPr="00E81F22">
              <w:rPr>
                <w:sz w:val="18"/>
              </w:rPr>
              <w:t xml:space="preserve">An online meeting organized one to two weeks prior to the actual onsite activities. During this online meeting the customer will be introduced to the GDPR Detailed Assessment, discuss the upcoming activities and align expectations and timelines. For customers that have no prior exposure to the GDPR, a high-level introduction explaining the GDPR and its possible impact on the organization will be included. </w:t>
            </w:r>
          </w:p>
          <w:p w14:paraId="53513362" w14:textId="6B26AD23" w:rsidR="00FE3BF4" w:rsidRPr="00E81F22" w:rsidRDefault="00FE3BF4" w:rsidP="00FE3BF4">
            <w:pPr>
              <w:rPr>
                <w:sz w:val="18"/>
              </w:rPr>
            </w:pPr>
            <w:r w:rsidRPr="00E81F22">
              <w:rPr>
                <w:sz w:val="18"/>
              </w:rPr>
              <w:t xml:space="preserve">A preview of the Microsoft GDPR Detailed Assessment questions will be provided to help identify the customer representatives that will assist in answering the </w:t>
            </w:r>
            <w:r w:rsidR="008E289E" w:rsidRPr="00E81F22">
              <w:rPr>
                <w:sz w:val="18"/>
              </w:rPr>
              <w:t>questionnaire</w:t>
            </w:r>
            <w:r w:rsidRPr="00E81F22">
              <w:rPr>
                <w:sz w:val="18"/>
              </w:rPr>
              <w:t>.</w:t>
            </w:r>
          </w:p>
        </w:tc>
        <w:tc>
          <w:tcPr>
            <w:tcW w:w="1750" w:type="dxa"/>
            <w:tcMar>
              <w:top w:w="57" w:type="dxa"/>
              <w:bottom w:w="57" w:type="dxa"/>
            </w:tcMar>
          </w:tcPr>
          <w:p w14:paraId="6D2D0D84" w14:textId="5B9CF3BE" w:rsidR="00FE3BF4" w:rsidRPr="00E81F22" w:rsidRDefault="004C04B5" w:rsidP="00A80DC4">
            <w:pPr>
              <w:rPr>
                <w:sz w:val="18"/>
              </w:rPr>
            </w:pPr>
            <w:r w:rsidRPr="00E81F22">
              <w:rPr>
                <w:sz w:val="18"/>
              </w:rPr>
              <w:t>Two weeks prior to onsite workshop delivery.</w:t>
            </w:r>
          </w:p>
        </w:tc>
      </w:tr>
      <w:tr w:rsidR="00032C5A" w:rsidRPr="008E289E" w14:paraId="44BCA022" w14:textId="77777777" w:rsidTr="00E81F22">
        <w:tc>
          <w:tcPr>
            <w:tcW w:w="1696" w:type="dxa"/>
            <w:tcMar>
              <w:top w:w="57" w:type="dxa"/>
              <w:bottom w:w="57" w:type="dxa"/>
            </w:tcMar>
          </w:tcPr>
          <w:p w14:paraId="5CD52FB0" w14:textId="2F765341" w:rsidR="00032C5A" w:rsidRPr="00E81F22" w:rsidRDefault="008E289E" w:rsidP="00A80DC4">
            <w:pPr>
              <w:rPr>
                <w:b/>
                <w:sz w:val="18"/>
              </w:rPr>
            </w:pPr>
            <w:r w:rsidRPr="00E81F22">
              <w:rPr>
                <w:b/>
                <w:sz w:val="18"/>
              </w:rPr>
              <w:t>C</w:t>
            </w:r>
            <w:r w:rsidR="004C04B5" w:rsidRPr="00E81F22">
              <w:rPr>
                <w:b/>
                <w:sz w:val="18"/>
              </w:rPr>
              <w:t>onfirmed schedule</w:t>
            </w:r>
          </w:p>
        </w:tc>
        <w:tc>
          <w:tcPr>
            <w:tcW w:w="1134" w:type="dxa"/>
            <w:tcMar>
              <w:top w:w="57" w:type="dxa"/>
              <w:bottom w:w="57" w:type="dxa"/>
            </w:tcMar>
          </w:tcPr>
          <w:p w14:paraId="79936919" w14:textId="1B84F93E" w:rsidR="00032C5A" w:rsidRPr="00E81F22" w:rsidRDefault="004C04B5" w:rsidP="00A80DC4">
            <w:pPr>
              <w:rPr>
                <w:sz w:val="18"/>
              </w:rPr>
            </w:pPr>
            <w:r w:rsidRPr="00E81F22">
              <w:rPr>
                <w:sz w:val="18"/>
              </w:rPr>
              <w:t>Deliverable</w:t>
            </w:r>
          </w:p>
        </w:tc>
        <w:tc>
          <w:tcPr>
            <w:tcW w:w="4820" w:type="dxa"/>
            <w:tcMar>
              <w:top w:w="57" w:type="dxa"/>
              <w:bottom w:w="57" w:type="dxa"/>
            </w:tcMar>
          </w:tcPr>
          <w:p w14:paraId="2733CF15" w14:textId="2D79369F" w:rsidR="00032C5A" w:rsidRPr="00E81F22" w:rsidRDefault="004C04B5" w:rsidP="004C04B5">
            <w:pPr>
              <w:rPr>
                <w:sz w:val="18"/>
              </w:rPr>
            </w:pPr>
            <w:r w:rsidRPr="00E81F22">
              <w:rPr>
                <w:sz w:val="18"/>
              </w:rPr>
              <w:t>An agreed starting date and agreed engagement time lines</w:t>
            </w:r>
          </w:p>
        </w:tc>
        <w:tc>
          <w:tcPr>
            <w:tcW w:w="1750" w:type="dxa"/>
            <w:tcMar>
              <w:top w:w="57" w:type="dxa"/>
              <w:bottom w:w="57" w:type="dxa"/>
            </w:tcMar>
          </w:tcPr>
          <w:p w14:paraId="099C1ACB" w14:textId="78BB8467" w:rsidR="00032C5A" w:rsidRPr="00E81F22" w:rsidRDefault="004C04B5" w:rsidP="00A80DC4">
            <w:pPr>
              <w:rPr>
                <w:sz w:val="18"/>
              </w:rPr>
            </w:pPr>
            <w:r w:rsidRPr="00E81F22">
              <w:rPr>
                <w:sz w:val="18"/>
              </w:rPr>
              <w:t>Two days after pre-engagement meeting</w:t>
            </w:r>
          </w:p>
        </w:tc>
      </w:tr>
      <w:tr w:rsidR="004C04B5" w:rsidRPr="008E289E" w14:paraId="6FD0454E" w14:textId="77777777" w:rsidTr="00E81F22">
        <w:trPr>
          <w:cnfStyle w:val="000000100000" w:firstRow="0" w:lastRow="0" w:firstColumn="0" w:lastColumn="0" w:oddVBand="0" w:evenVBand="0" w:oddHBand="1" w:evenHBand="0" w:firstRowFirstColumn="0" w:firstRowLastColumn="0" w:lastRowFirstColumn="0" w:lastRowLastColumn="0"/>
        </w:trPr>
        <w:tc>
          <w:tcPr>
            <w:tcW w:w="1696" w:type="dxa"/>
            <w:tcMar>
              <w:top w:w="57" w:type="dxa"/>
              <w:bottom w:w="57" w:type="dxa"/>
            </w:tcMar>
          </w:tcPr>
          <w:p w14:paraId="13580FA5" w14:textId="0B8FEDFB" w:rsidR="004C04B5" w:rsidRPr="00E81F22" w:rsidRDefault="008E289E" w:rsidP="004C04B5">
            <w:pPr>
              <w:rPr>
                <w:b/>
                <w:sz w:val="18"/>
              </w:rPr>
            </w:pPr>
            <w:r w:rsidRPr="00E81F22">
              <w:rPr>
                <w:b/>
                <w:sz w:val="18"/>
              </w:rPr>
              <w:t>C</w:t>
            </w:r>
            <w:r w:rsidR="004C04B5" w:rsidRPr="00E81F22">
              <w:rPr>
                <w:b/>
                <w:sz w:val="18"/>
              </w:rPr>
              <w:t>onfirmed customer responders</w:t>
            </w:r>
          </w:p>
        </w:tc>
        <w:tc>
          <w:tcPr>
            <w:tcW w:w="1134" w:type="dxa"/>
            <w:tcMar>
              <w:top w:w="57" w:type="dxa"/>
              <w:bottom w:w="57" w:type="dxa"/>
            </w:tcMar>
          </w:tcPr>
          <w:p w14:paraId="345CF7DF" w14:textId="02D6CBE6" w:rsidR="004C04B5" w:rsidRPr="00E81F22" w:rsidRDefault="004C04B5" w:rsidP="004C04B5">
            <w:pPr>
              <w:rPr>
                <w:sz w:val="18"/>
              </w:rPr>
            </w:pPr>
            <w:r w:rsidRPr="00E81F22">
              <w:rPr>
                <w:sz w:val="18"/>
              </w:rPr>
              <w:t>Deliverable</w:t>
            </w:r>
          </w:p>
        </w:tc>
        <w:tc>
          <w:tcPr>
            <w:tcW w:w="4820" w:type="dxa"/>
            <w:tcMar>
              <w:top w:w="57" w:type="dxa"/>
              <w:bottom w:w="57" w:type="dxa"/>
            </w:tcMar>
          </w:tcPr>
          <w:p w14:paraId="6D9DF210" w14:textId="3F8CE147" w:rsidR="004C04B5" w:rsidRPr="00E81F22" w:rsidRDefault="004C04B5" w:rsidP="004C04B5">
            <w:pPr>
              <w:rPr>
                <w:sz w:val="18"/>
              </w:rPr>
            </w:pPr>
            <w:r w:rsidRPr="00E81F22">
              <w:rPr>
                <w:sz w:val="18"/>
              </w:rPr>
              <w:t>A list of customer responders (Name, title, contact details).</w:t>
            </w:r>
          </w:p>
        </w:tc>
        <w:tc>
          <w:tcPr>
            <w:tcW w:w="1750" w:type="dxa"/>
            <w:tcMar>
              <w:top w:w="57" w:type="dxa"/>
              <w:bottom w:w="57" w:type="dxa"/>
            </w:tcMar>
          </w:tcPr>
          <w:p w14:paraId="5F5C37A9" w14:textId="491918BE" w:rsidR="004C04B5" w:rsidRPr="00E81F22" w:rsidRDefault="004C04B5" w:rsidP="004C04B5">
            <w:pPr>
              <w:rPr>
                <w:sz w:val="18"/>
              </w:rPr>
            </w:pPr>
            <w:r w:rsidRPr="00E81F22">
              <w:rPr>
                <w:sz w:val="18"/>
              </w:rPr>
              <w:t>Two days after pre-engagement meeting</w:t>
            </w:r>
          </w:p>
        </w:tc>
      </w:tr>
      <w:tr w:rsidR="004C04B5" w:rsidRPr="008E289E" w14:paraId="14FB4CA9" w14:textId="77777777" w:rsidTr="00E81F22">
        <w:tc>
          <w:tcPr>
            <w:tcW w:w="1696" w:type="dxa"/>
            <w:tcMar>
              <w:top w:w="57" w:type="dxa"/>
              <w:bottom w:w="57" w:type="dxa"/>
            </w:tcMar>
          </w:tcPr>
          <w:p w14:paraId="23FFA54B" w14:textId="464AA2EB" w:rsidR="004C04B5" w:rsidRPr="00E81F22" w:rsidRDefault="008E289E" w:rsidP="004C04B5">
            <w:pPr>
              <w:rPr>
                <w:b/>
                <w:sz w:val="18"/>
              </w:rPr>
            </w:pPr>
            <w:r w:rsidRPr="00E81F22">
              <w:rPr>
                <w:b/>
                <w:sz w:val="18"/>
              </w:rPr>
              <w:t>Engagement kick-off meeting</w:t>
            </w:r>
          </w:p>
        </w:tc>
        <w:tc>
          <w:tcPr>
            <w:tcW w:w="1134" w:type="dxa"/>
            <w:tcMar>
              <w:top w:w="57" w:type="dxa"/>
              <w:bottom w:w="57" w:type="dxa"/>
            </w:tcMar>
          </w:tcPr>
          <w:p w14:paraId="2174EDB6" w14:textId="4D2200A7" w:rsidR="004C04B5" w:rsidRPr="00E81F22" w:rsidRDefault="008E289E" w:rsidP="004C04B5">
            <w:pPr>
              <w:rPr>
                <w:sz w:val="18"/>
              </w:rPr>
            </w:pPr>
            <w:r w:rsidRPr="00E81F22">
              <w:rPr>
                <w:sz w:val="18"/>
              </w:rPr>
              <w:t>Work Product</w:t>
            </w:r>
          </w:p>
        </w:tc>
        <w:tc>
          <w:tcPr>
            <w:tcW w:w="4820" w:type="dxa"/>
            <w:tcMar>
              <w:top w:w="57" w:type="dxa"/>
              <w:bottom w:w="57" w:type="dxa"/>
            </w:tcMar>
          </w:tcPr>
          <w:p w14:paraId="1DD03330" w14:textId="72828C0C" w:rsidR="004C04B5" w:rsidRPr="00E81F22" w:rsidRDefault="008E289E" w:rsidP="004C04B5">
            <w:pPr>
              <w:rPr>
                <w:sz w:val="18"/>
              </w:rPr>
            </w:pPr>
            <w:r w:rsidRPr="00E81F22">
              <w:rPr>
                <w:sz w:val="18"/>
              </w:rPr>
              <w:t>At the beginning of the day the customer and partner team will gather for a short kickoff meeting. During this meeting, the new team members (if any) will be introduced and the team will be briefed on the upcoming activities and the meeting schedules and location(s) will be confirmed.</w:t>
            </w:r>
          </w:p>
        </w:tc>
        <w:tc>
          <w:tcPr>
            <w:tcW w:w="1750" w:type="dxa"/>
            <w:tcMar>
              <w:top w:w="57" w:type="dxa"/>
              <w:bottom w:w="57" w:type="dxa"/>
            </w:tcMar>
          </w:tcPr>
          <w:p w14:paraId="57488AA2" w14:textId="5AD8A72E" w:rsidR="004C04B5" w:rsidRPr="00E81F22" w:rsidRDefault="008E289E" w:rsidP="004C04B5">
            <w:pPr>
              <w:rPr>
                <w:sz w:val="18"/>
              </w:rPr>
            </w:pPr>
            <w:r w:rsidRPr="00E81F22">
              <w:rPr>
                <w:sz w:val="18"/>
              </w:rPr>
              <w:t>Agreed starting date for on site assessment workshop</w:t>
            </w:r>
          </w:p>
        </w:tc>
      </w:tr>
      <w:tr w:rsidR="004C04B5" w:rsidRPr="008E289E" w14:paraId="3161716D" w14:textId="77777777" w:rsidTr="00E81F22">
        <w:trPr>
          <w:cnfStyle w:val="000000100000" w:firstRow="0" w:lastRow="0" w:firstColumn="0" w:lastColumn="0" w:oddVBand="0" w:evenVBand="0" w:oddHBand="1" w:evenHBand="0" w:firstRowFirstColumn="0" w:firstRowLastColumn="0" w:lastRowFirstColumn="0" w:lastRowLastColumn="0"/>
        </w:trPr>
        <w:tc>
          <w:tcPr>
            <w:tcW w:w="1696" w:type="dxa"/>
            <w:tcMar>
              <w:top w:w="57" w:type="dxa"/>
              <w:bottom w:w="57" w:type="dxa"/>
            </w:tcMar>
          </w:tcPr>
          <w:p w14:paraId="07B8A0C7" w14:textId="15C354A8" w:rsidR="004C04B5" w:rsidRPr="00E81F22" w:rsidRDefault="008E289E" w:rsidP="004C04B5">
            <w:pPr>
              <w:rPr>
                <w:b/>
                <w:sz w:val="18"/>
              </w:rPr>
            </w:pPr>
            <w:r w:rsidRPr="00E81F22">
              <w:rPr>
                <w:b/>
                <w:sz w:val="18"/>
              </w:rPr>
              <w:t>GDPR Detailed Assessment workshop</w:t>
            </w:r>
          </w:p>
        </w:tc>
        <w:tc>
          <w:tcPr>
            <w:tcW w:w="1134" w:type="dxa"/>
            <w:tcMar>
              <w:top w:w="57" w:type="dxa"/>
              <w:bottom w:w="57" w:type="dxa"/>
            </w:tcMar>
          </w:tcPr>
          <w:p w14:paraId="50FC9A4E" w14:textId="21B0F2B3" w:rsidR="004C04B5" w:rsidRPr="00E81F22" w:rsidRDefault="008E289E" w:rsidP="004C04B5">
            <w:pPr>
              <w:rPr>
                <w:sz w:val="18"/>
              </w:rPr>
            </w:pPr>
            <w:r w:rsidRPr="00E81F22">
              <w:rPr>
                <w:sz w:val="18"/>
              </w:rPr>
              <w:t>Work Product</w:t>
            </w:r>
          </w:p>
        </w:tc>
        <w:tc>
          <w:tcPr>
            <w:tcW w:w="4820" w:type="dxa"/>
            <w:tcMar>
              <w:top w:w="57" w:type="dxa"/>
              <w:bottom w:w="57" w:type="dxa"/>
            </w:tcMar>
          </w:tcPr>
          <w:p w14:paraId="05B87C07" w14:textId="13DFD161" w:rsidR="004C04B5" w:rsidRPr="00E81F22" w:rsidRDefault="008E289E" w:rsidP="008E289E">
            <w:pPr>
              <w:rPr>
                <w:sz w:val="18"/>
              </w:rPr>
            </w:pPr>
            <w:r w:rsidRPr="00E81F22">
              <w:rPr>
                <w:sz w:val="18"/>
              </w:rPr>
              <w:t xml:space="preserve">Workshop to assess the maturity of its people, processes, and technology, relevant to the GDPR. The answers provided by the customer will be logged into the assessment tool together with relevant remarks and or observations. </w:t>
            </w:r>
          </w:p>
        </w:tc>
        <w:tc>
          <w:tcPr>
            <w:tcW w:w="1750" w:type="dxa"/>
            <w:tcMar>
              <w:top w:w="57" w:type="dxa"/>
              <w:bottom w:w="57" w:type="dxa"/>
            </w:tcMar>
          </w:tcPr>
          <w:p w14:paraId="117ADC48" w14:textId="3FD1ACF3" w:rsidR="004C04B5" w:rsidRPr="00E81F22" w:rsidRDefault="008E289E" w:rsidP="004C04B5">
            <w:pPr>
              <w:rPr>
                <w:sz w:val="18"/>
              </w:rPr>
            </w:pPr>
            <w:r w:rsidRPr="00E81F22">
              <w:rPr>
                <w:sz w:val="18"/>
              </w:rPr>
              <w:t>Agreed starting date for on site assessment workshop</w:t>
            </w:r>
          </w:p>
        </w:tc>
      </w:tr>
      <w:tr w:rsidR="00D07B10" w:rsidRPr="008E289E" w14:paraId="589DBD03" w14:textId="77777777" w:rsidTr="00E81F22">
        <w:tc>
          <w:tcPr>
            <w:tcW w:w="1696" w:type="dxa"/>
            <w:tcMar>
              <w:top w:w="57" w:type="dxa"/>
              <w:bottom w:w="57" w:type="dxa"/>
            </w:tcMar>
          </w:tcPr>
          <w:p w14:paraId="2240BB7A" w14:textId="36BBC1BE" w:rsidR="00D07B10" w:rsidRPr="00E81F22" w:rsidRDefault="00D07B10" w:rsidP="00D07B10">
            <w:pPr>
              <w:rPr>
                <w:b/>
                <w:sz w:val="18"/>
              </w:rPr>
            </w:pPr>
            <w:r w:rsidRPr="00E81F22">
              <w:rPr>
                <w:b/>
                <w:sz w:val="18"/>
              </w:rPr>
              <w:t>Outcome analysis &amp; write up</w:t>
            </w:r>
          </w:p>
        </w:tc>
        <w:tc>
          <w:tcPr>
            <w:tcW w:w="1134" w:type="dxa"/>
            <w:tcMar>
              <w:top w:w="57" w:type="dxa"/>
              <w:bottom w:w="57" w:type="dxa"/>
            </w:tcMar>
          </w:tcPr>
          <w:p w14:paraId="286506AC" w14:textId="529E35CC" w:rsidR="00D07B10" w:rsidRPr="00E81F22" w:rsidRDefault="00D07B10" w:rsidP="00D07B10">
            <w:pPr>
              <w:rPr>
                <w:sz w:val="18"/>
              </w:rPr>
            </w:pPr>
            <w:r w:rsidRPr="00E81F22">
              <w:rPr>
                <w:sz w:val="18"/>
              </w:rPr>
              <w:t>Work product</w:t>
            </w:r>
          </w:p>
        </w:tc>
        <w:tc>
          <w:tcPr>
            <w:tcW w:w="4820" w:type="dxa"/>
            <w:tcMar>
              <w:top w:w="57" w:type="dxa"/>
              <w:bottom w:w="57" w:type="dxa"/>
            </w:tcMar>
          </w:tcPr>
          <w:p w14:paraId="46BDB5AC" w14:textId="56DBF587" w:rsidR="00D07B10" w:rsidRPr="00E81F22" w:rsidRDefault="00D07B10" w:rsidP="00D07B10">
            <w:pPr>
              <w:rPr>
                <w:sz w:val="18"/>
              </w:rPr>
            </w:pPr>
            <w:r w:rsidRPr="00E81F22">
              <w:rPr>
                <w:sz w:val="18"/>
              </w:rPr>
              <w:t xml:space="preserve">The results of the </w:t>
            </w:r>
            <w:proofErr w:type="spellStart"/>
            <w:proofErr w:type="gramStart"/>
            <w:r w:rsidRPr="00E81F22">
              <w:rPr>
                <w:sz w:val="18"/>
              </w:rPr>
              <w:t>on site</w:t>
            </w:r>
            <w:proofErr w:type="spellEnd"/>
            <w:proofErr w:type="gramEnd"/>
            <w:r w:rsidRPr="00E81F22">
              <w:rPr>
                <w:sz w:val="18"/>
              </w:rPr>
              <w:t xml:space="preserve"> workshop will be analyzed and a close out presentation will be created.</w:t>
            </w:r>
          </w:p>
        </w:tc>
        <w:tc>
          <w:tcPr>
            <w:tcW w:w="1750" w:type="dxa"/>
            <w:tcMar>
              <w:top w:w="57" w:type="dxa"/>
              <w:bottom w:w="57" w:type="dxa"/>
            </w:tcMar>
          </w:tcPr>
          <w:p w14:paraId="76EF625F" w14:textId="3AEDA788" w:rsidR="00D07B10" w:rsidRPr="00E81F22" w:rsidRDefault="00D07B10" w:rsidP="00D07B10">
            <w:pPr>
              <w:rPr>
                <w:sz w:val="18"/>
              </w:rPr>
            </w:pPr>
            <w:r w:rsidRPr="00E81F22">
              <w:rPr>
                <w:sz w:val="18"/>
              </w:rPr>
              <w:t>Agreed starting date for on site assessment workshop</w:t>
            </w:r>
          </w:p>
        </w:tc>
      </w:tr>
      <w:tr w:rsidR="00D07B10" w:rsidRPr="008E289E" w14:paraId="61358E1E" w14:textId="77777777" w:rsidTr="00E81F22">
        <w:trPr>
          <w:cnfStyle w:val="000000100000" w:firstRow="0" w:lastRow="0" w:firstColumn="0" w:lastColumn="0" w:oddVBand="0" w:evenVBand="0" w:oddHBand="1" w:evenHBand="0" w:firstRowFirstColumn="0" w:firstRowLastColumn="0" w:lastRowFirstColumn="0" w:lastRowLastColumn="0"/>
        </w:trPr>
        <w:tc>
          <w:tcPr>
            <w:tcW w:w="1696" w:type="dxa"/>
            <w:tcMar>
              <w:top w:w="57" w:type="dxa"/>
              <w:bottom w:w="57" w:type="dxa"/>
            </w:tcMar>
          </w:tcPr>
          <w:p w14:paraId="15E4B15E" w14:textId="39E671F7" w:rsidR="00D07B10" w:rsidRPr="00E81F22" w:rsidRDefault="00D07B10" w:rsidP="00D07B10">
            <w:pPr>
              <w:rPr>
                <w:b/>
                <w:sz w:val="18"/>
              </w:rPr>
            </w:pPr>
            <w:r w:rsidRPr="00E81F22">
              <w:rPr>
                <w:b/>
                <w:sz w:val="18"/>
              </w:rPr>
              <w:t>Close out presentation</w:t>
            </w:r>
          </w:p>
        </w:tc>
        <w:tc>
          <w:tcPr>
            <w:tcW w:w="1134" w:type="dxa"/>
            <w:tcMar>
              <w:top w:w="57" w:type="dxa"/>
              <w:bottom w:w="57" w:type="dxa"/>
            </w:tcMar>
          </w:tcPr>
          <w:p w14:paraId="01751EB8" w14:textId="7270C21E" w:rsidR="00D07B10" w:rsidRPr="00E81F22" w:rsidRDefault="00D07B10" w:rsidP="00D07B10">
            <w:pPr>
              <w:rPr>
                <w:sz w:val="18"/>
              </w:rPr>
            </w:pPr>
            <w:r w:rsidRPr="00E81F22">
              <w:rPr>
                <w:sz w:val="18"/>
              </w:rPr>
              <w:t>Work product</w:t>
            </w:r>
          </w:p>
        </w:tc>
        <w:tc>
          <w:tcPr>
            <w:tcW w:w="4820" w:type="dxa"/>
            <w:tcMar>
              <w:top w:w="57" w:type="dxa"/>
              <w:bottom w:w="57" w:type="dxa"/>
            </w:tcMar>
          </w:tcPr>
          <w:p w14:paraId="05283BD5" w14:textId="37A26008" w:rsidR="00D07B10" w:rsidRPr="00E81F22" w:rsidRDefault="00D07B10" w:rsidP="00D07B10">
            <w:pPr>
              <w:rPr>
                <w:sz w:val="18"/>
              </w:rPr>
            </w:pPr>
            <w:r w:rsidRPr="00E81F22">
              <w:rPr>
                <w:sz w:val="18"/>
              </w:rPr>
              <w:t>The findings from the assessment will be presented to the customer together with suggestions for next steps and if possible a roadmap towards GDPR compliance.</w:t>
            </w:r>
          </w:p>
        </w:tc>
        <w:tc>
          <w:tcPr>
            <w:tcW w:w="1750" w:type="dxa"/>
            <w:tcMar>
              <w:top w:w="57" w:type="dxa"/>
              <w:bottom w:w="57" w:type="dxa"/>
            </w:tcMar>
          </w:tcPr>
          <w:p w14:paraId="738C1CB0" w14:textId="579A284E" w:rsidR="00D07B10" w:rsidRPr="00E81F22" w:rsidRDefault="00D07B10" w:rsidP="00D07B10">
            <w:pPr>
              <w:rPr>
                <w:sz w:val="18"/>
              </w:rPr>
            </w:pPr>
            <w:r w:rsidRPr="00E81F22">
              <w:rPr>
                <w:sz w:val="18"/>
              </w:rPr>
              <w:t>Within 2 weeks after analysis &amp; write up</w:t>
            </w:r>
          </w:p>
        </w:tc>
      </w:tr>
      <w:tr w:rsidR="00EF2845" w:rsidRPr="008E289E" w14:paraId="170F0314" w14:textId="77777777" w:rsidTr="00E81F22">
        <w:tc>
          <w:tcPr>
            <w:tcW w:w="1696" w:type="dxa"/>
            <w:tcMar>
              <w:top w:w="57" w:type="dxa"/>
              <w:bottom w:w="57" w:type="dxa"/>
            </w:tcMar>
          </w:tcPr>
          <w:p w14:paraId="759DC582" w14:textId="5E793F48" w:rsidR="00EF2845" w:rsidRPr="00E81F22" w:rsidRDefault="00EF2845" w:rsidP="00EF2845">
            <w:pPr>
              <w:rPr>
                <w:b/>
                <w:sz w:val="18"/>
              </w:rPr>
            </w:pPr>
            <w:r w:rsidRPr="00E81F22">
              <w:rPr>
                <w:b/>
                <w:sz w:val="18"/>
              </w:rPr>
              <w:t>Close out presentation</w:t>
            </w:r>
          </w:p>
        </w:tc>
        <w:tc>
          <w:tcPr>
            <w:tcW w:w="1134" w:type="dxa"/>
            <w:tcMar>
              <w:top w:w="57" w:type="dxa"/>
              <w:bottom w:w="57" w:type="dxa"/>
            </w:tcMar>
          </w:tcPr>
          <w:p w14:paraId="40AF01B7" w14:textId="3BF72996" w:rsidR="00EF2845" w:rsidRPr="00E81F22" w:rsidRDefault="00EF2845" w:rsidP="00EF2845">
            <w:pPr>
              <w:rPr>
                <w:sz w:val="18"/>
              </w:rPr>
            </w:pPr>
            <w:r w:rsidRPr="00E81F22">
              <w:rPr>
                <w:sz w:val="18"/>
              </w:rPr>
              <w:t>Deliverable</w:t>
            </w:r>
          </w:p>
        </w:tc>
        <w:tc>
          <w:tcPr>
            <w:tcW w:w="4820" w:type="dxa"/>
            <w:tcMar>
              <w:top w:w="57" w:type="dxa"/>
              <w:bottom w:w="57" w:type="dxa"/>
            </w:tcMar>
          </w:tcPr>
          <w:p w14:paraId="14E1B335" w14:textId="2E543A69" w:rsidR="00EF2845" w:rsidRPr="00E81F22" w:rsidRDefault="00EF2845" w:rsidP="00EF2845">
            <w:pPr>
              <w:rPr>
                <w:sz w:val="18"/>
              </w:rPr>
            </w:pPr>
            <w:r w:rsidRPr="00E81F22">
              <w:rPr>
                <w:sz w:val="18"/>
              </w:rPr>
              <w:t>Presentation that summarizes the assessment findings and includes recommended actions and roadmap.</w:t>
            </w:r>
          </w:p>
        </w:tc>
        <w:tc>
          <w:tcPr>
            <w:tcW w:w="1750" w:type="dxa"/>
            <w:tcMar>
              <w:top w:w="57" w:type="dxa"/>
              <w:bottom w:w="57" w:type="dxa"/>
            </w:tcMar>
          </w:tcPr>
          <w:p w14:paraId="31A4B70C" w14:textId="1CD24E59" w:rsidR="00EF2845" w:rsidRPr="00E81F22" w:rsidRDefault="00EF2845" w:rsidP="00EF2845">
            <w:pPr>
              <w:rPr>
                <w:sz w:val="18"/>
              </w:rPr>
            </w:pPr>
            <w:r w:rsidRPr="00E81F22">
              <w:rPr>
                <w:sz w:val="18"/>
              </w:rPr>
              <w:t>Within 2 weeks after analysis &amp; write up</w:t>
            </w:r>
          </w:p>
        </w:tc>
      </w:tr>
    </w:tbl>
    <w:p w14:paraId="18DE09AC" w14:textId="2967DF9B" w:rsidR="0027779D" w:rsidRDefault="0027779D"/>
    <w:p w14:paraId="4CC61BB3" w14:textId="31AD20F3" w:rsidR="00032C5A" w:rsidRPr="00EF2845" w:rsidRDefault="00D07B10" w:rsidP="00CD15F5">
      <w:pPr>
        <w:keepNext/>
      </w:pPr>
      <w:r w:rsidRPr="00EF2845">
        <w:lastRenderedPageBreak/>
        <w:t>T</w:t>
      </w:r>
      <w:r w:rsidR="00032C5A" w:rsidRPr="00EF2845">
        <w:t xml:space="preserve">he deliverables </w:t>
      </w:r>
      <w:r w:rsidRPr="00EF2845">
        <w:t xml:space="preserve">will be submitted to the </w:t>
      </w:r>
      <w:r w:rsidR="00032C5A" w:rsidRPr="00EF2845">
        <w:t>Customer</w:t>
      </w:r>
      <w:r w:rsidRPr="00EF2845">
        <w:t xml:space="preserve"> for</w:t>
      </w:r>
      <w:r w:rsidR="00032C5A" w:rsidRPr="00EF2845">
        <w:t xml:space="preserve"> review and approval</w:t>
      </w:r>
      <w:r w:rsidRPr="00EF2845">
        <w:t xml:space="preserve"> after the completion of the close out presen</w:t>
      </w:r>
      <w:r w:rsidR="00EF2845">
        <w:t>t</w:t>
      </w:r>
      <w:r w:rsidRPr="00EF2845">
        <w:t>ation</w:t>
      </w:r>
      <w:r w:rsidR="00CD15F5">
        <w:t>.</w:t>
      </w:r>
    </w:p>
    <w:p w14:paraId="672170DA" w14:textId="77777777" w:rsidR="00032C5A" w:rsidRPr="00EF2845" w:rsidRDefault="00032C5A" w:rsidP="00032C5A">
      <w:r w:rsidRPr="00EF2845">
        <w:t>Within three business days of the date of submittal, the Customer is required to:</w:t>
      </w:r>
    </w:p>
    <w:p w14:paraId="08F34F56" w14:textId="77777777" w:rsidR="00032C5A" w:rsidRPr="00EF2845" w:rsidRDefault="00032C5A" w:rsidP="00032C5A">
      <w:pPr>
        <w:pStyle w:val="Bulletlist"/>
        <w:rPr>
          <w:rFonts w:asciiTheme="minorHAnsi" w:hAnsiTheme="minorHAnsi" w:cstheme="minorHAnsi"/>
          <w:sz w:val="22"/>
        </w:rPr>
      </w:pPr>
      <w:r w:rsidRPr="00EF2845">
        <w:rPr>
          <w:rFonts w:asciiTheme="minorHAnsi" w:hAnsiTheme="minorHAnsi" w:cstheme="minorHAnsi"/>
          <w:b/>
          <w:bCs/>
          <w:sz w:val="22"/>
        </w:rPr>
        <w:t>Accept the deliverable</w:t>
      </w:r>
      <w:r w:rsidRPr="00EF2845">
        <w:rPr>
          <w:rFonts w:asciiTheme="minorHAnsi" w:hAnsiTheme="minorHAnsi" w:cstheme="minorHAnsi"/>
          <w:sz w:val="22"/>
        </w:rPr>
        <w:t xml:space="preserve"> by signing, dating, and returning a service deliverable acceptance form, which can be sent by email or by using (or partially using) the deliverable. </w:t>
      </w:r>
    </w:p>
    <w:p w14:paraId="79375E8B" w14:textId="77777777" w:rsidR="00032C5A" w:rsidRPr="00EF2845" w:rsidRDefault="00032C5A" w:rsidP="00032C5A">
      <w:pPr>
        <w:ind w:firstLine="360"/>
        <w:rPr>
          <w:rFonts w:cstheme="minorHAnsi"/>
        </w:rPr>
      </w:pPr>
      <w:r w:rsidRPr="00EF2845">
        <w:rPr>
          <w:rFonts w:cstheme="minorHAnsi"/>
        </w:rPr>
        <w:t>Or</w:t>
      </w:r>
    </w:p>
    <w:p w14:paraId="5C330590" w14:textId="77777777" w:rsidR="00032C5A" w:rsidRPr="00EF2845" w:rsidRDefault="00032C5A" w:rsidP="00032C5A">
      <w:pPr>
        <w:pStyle w:val="Bulletlist"/>
        <w:rPr>
          <w:rFonts w:asciiTheme="minorHAnsi" w:hAnsiTheme="minorHAnsi" w:cstheme="minorHAnsi"/>
          <w:sz w:val="22"/>
        </w:rPr>
      </w:pPr>
      <w:r w:rsidRPr="00EF2845">
        <w:rPr>
          <w:rFonts w:asciiTheme="minorHAnsi" w:hAnsiTheme="minorHAnsi" w:cstheme="minorHAnsi"/>
          <w:b/>
          <w:bCs/>
          <w:sz w:val="22"/>
        </w:rPr>
        <w:t>Reject the deliverable</w:t>
      </w:r>
      <w:r w:rsidRPr="00EF2845">
        <w:rPr>
          <w:rFonts w:asciiTheme="minorHAnsi" w:hAnsiTheme="minorHAnsi" w:cstheme="minorHAnsi"/>
          <w:sz w:val="22"/>
        </w:rPr>
        <w:t xml:space="preserve"> by notifying Partner in writing; the Customer must include a complete list of reasons for rejection.</w:t>
      </w:r>
    </w:p>
    <w:p w14:paraId="2C6943F3" w14:textId="77777777" w:rsidR="00032C5A" w:rsidRPr="00EF2845" w:rsidRDefault="00032C5A" w:rsidP="00032C5A">
      <w:pPr>
        <w:pStyle w:val="Bulletlist"/>
        <w:numPr>
          <w:ilvl w:val="0"/>
          <w:numId w:val="0"/>
        </w:numPr>
        <w:ind w:left="360"/>
      </w:pPr>
    </w:p>
    <w:p w14:paraId="5D608490" w14:textId="77777777" w:rsidR="00032C5A" w:rsidRPr="00EF2845" w:rsidRDefault="00032C5A" w:rsidP="00032C5A">
      <w:r w:rsidRPr="00EF2845">
        <w:t>Deliverables shall be deemed accepted unless the written rejection notification is received by Partner in the timeframe specified.</w:t>
      </w:r>
    </w:p>
    <w:p w14:paraId="5ACA667F" w14:textId="77777777" w:rsidR="00032C5A" w:rsidRPr="004C04B5" w:rsidRDefault="00032C5A" w:rsidP="00032C5A">
      <w:pPr>
        <w:rPr>
          <w:highlight w:val="darkGray"/>
        </w:rPr>
      </w:pPr>
      <w:r w:rsidRPr="00EF2845">
        <w:t>If a rejection notification is received, the Partner will correct the problems with a deliverable that are in scope for the project, after which the deliverable is deemed accepted.</w:t>
      </w:r>
    </w:p>
    <w:p w14:paraId="1D42E53B" w14:textId="77777777" w:rsidR="00032C5A" w:rsidRPr="00401C29" w:rsidRDefault="00032C5A" w:rsidP="00032C5A">
      <w:pPr>
        <w:pStyle w:val="Heading1"/>
      </w:pPr>
      <w:bookmarkStart w:id="28" w:name="_Toc499706395"/>
      <w:bookmarkStart w:id="29" w:name="_Toc510103896"/>
      <w:r w:rsidRPr="00401C29">
        <w:t>Customer Resource Requirements</w:t>
      </w:r>
      <w:bookmarkEnd w:id="28"/>
      <w:bookmarkEnd w:id="29"/>
    </w:p>
    <w:p w14:paraId="2A60CE58" w14:textId="6B1B33D5" w:rsidR="00032C5A" w:rsidRPr="00401C29" w:rsidRDefault="00032C5A" w:rsidP="00032C5A">
      <w:r w:rsidRPr="00401C29">
        <w:t xml:space="preserve">This section </w:t>
      </w:r>
      <w:r w:rsidR="00A3659A">
        <w:t xml:space="preserve">provides an overview of the resources required </w:t>
      </w:r>
      <w:r w:rsidRPr="00401C29">
        <w:t xml:space="preserve">for </w:t>
      </w:r>
      <w:r w:rsidR="00A3659A">
        <w:t xml:space="preserve">a successful delivery of </w:t>
      </w:r>
      <w:r w:rsidRPr="00401C29">
        <w:t xml:space="preserve">the </w:t>
      </w:r>
      <w:r w:rsidR="00A3659A">
        <w:t>GDPR Detailed</w:t>
      </w:r>
      <w:r w:rsidRPr="00401C29">
        <w:t xml:space="preserve"> Assessment. </w:t>
      </w:r>
    </w:p>
    <w:tbl>
      <w:tblPr>
        <w:tblStyle w:val="ListTable3-Accent1"/>
        <w:tblW w:w="9940" w:type="dxa"/>
        <w:tblLook w:val="0420" w:firstRow="1" w:lastRow="0" w:firstColumn="0" w:lastColumn="0" w:noHBand="0" w:noVBand="1"/>
      </w:tblPr>
      <w:tblGrid>
        <w:gridCol w:w="2547"/>
        <w:gridCol w:w="7393"/>
      </w:tblGrid>
      <w:tr w:rsidR="00032C5A" w:rsidRPr="00401C29" w14:paraId="353F0108" w14:textId="77777777" w:rsidTr="00A3659A">
        <w:trPr>
          <w:cnfStyle w:val="100000000000" w:firstRow="1" w:lastRow="0" w:firstColumn="0" w:lastColumn="0" w:oddVBand="0" w:evenVBand="0" w:oddHBand="0" w:evenHBand="0" w:firstRowFirstColumn="0" w:firstRowLastColumn="0" w:lastRowFirstColumn="0" w:lastRowLastColumn="0"/>
          <w:trHeight w:val="339"/>
        </w:trPr>
        <w:tc>
          <w:tcPr>
            <w:tcW w:w="2547" w:type="dxa"/>
          </w:tcPr>
          <w:p w14:paraId="5ED8CB80" w14:textId="77777777" w:rsidR="00032C5A" w:rsidRPr="00401C29" w:rsidRDefault="00032C5A" w:rsidP="00A80DC4">
            <w:pPr>
              <w:rPr>
                <w:color w:val="E7E6E6" w:themeColor="background2"/>
              </w:rPr>
            </w:pPr>
            <w:r w:rsidRPr="00401C29">
              <w:rPr>
                <w:color w:val="E7E6E6" w:themeColor="background2"/>
              </w:rPr>
              <w:t>Resource</w:t>
            </w:r>
          </w:p>
        </w:tc>
        <w:tc>
          <w:tcPr>
            <w:tcW w:w="7393" w:type="dxa"/>
          </w:tcPr>
          <w:p w14:paraId="3E03DCEB" w14:textId="669C7815" w:rsidR="00032C5A" w:rsidRPr="00401C29" w:rsidRDefault="00A3659A" w:rsidP="00A3659A">
            <w:pPr>
              <w:jc w:val="center"/>
              <w:rPr>
                <w:color w:val="E7E6E6" w:themeColor="background2"/>
              </w:rPr>
            </w:pPr>
            <w:r>
              <w:rPr>
                <w:color w:val="E7E6E6" w:themeColor="background2"/>
              </w:rPr>
              <w:t>Description</w:t>
            </w:r>
          </w:p>
        </w:tc>
      </w:tr>
      <w:tr w:rsidR="00032C5A" w:rsidRPr="00401C29" w14:paraId="79F057FE" w14:textId="77777777" w:rsidTr="00E81F22">
        <w:trPr>
          <w:cnfStyle w:val="000000100000" w:firstRow="0" w:lastRow="0" w:firstColumn="0" w:lastColumn="0" w:oddVBand="0" w:evenVBand="0" w:oddHBand="1" w:evenHBand="0" w:firstRowFirstColumn="0" w:firstRowLastColumn="0" w:lastRowFirstColumn="0" w:lastRowLastColumn="0"/>
          <w:trHeight w:val="432"/>
        </w:trPr>
        <w:tc>
          <w:tcPr>
            <w:tcW w:w="2547" w:type="dxa"/>
            <w:tcMar>
              <w:top w:w="57" w:type="dxa"/>
              <w:bottom w:w="57" w:type="dxa"/>
            </w:tcMar>
          </w:tcPr>
          <w:p w14:paraId="14BA6C1C" w14:textId="77777777" w:rsidR="00A3659A" w:rsidRPr="00E81F22" w:rsidRDefault="00A3659A" w:rsidP="00A3659A">
            <w:pPr>
              <w:rPr>
                <w:b/>
                <w:sz w:val="18"/>
                <w:szCs w:val="18"/>
              </w:rPr>
            </w:pPr>
            <w:r w:rsidRPr="00E81F22">
              <w:rPr>
                <w:b/>
                <w:sz w:val="18"/>
                <w:szCs w:val="18"/>
              </w:rPr>
              <w:t>Project Executive Sponsor</w:t>
            </w:r>
          </w:p>
          <w:p w14:paraId="4D176BB1" w14:textId="4ED2386D" w:rsidR="00032C5A" w:rsidRPr="00E81F22" w:rsidRDefault="00A3659A" w:rsidP="00A3659A">
            <w:pPr>
              <w:rPr>
                <w:b/>
                <w:sz w:val="18"/>
                <w:szCs w:val="18"/>
              </w:rPr>
            </w:pPr>
            <w:r w:rsidRPr="00E81F22">
              <w:rPr>
                <w:b/>
                <w:sz w:val="18"/>
                <w:szCs w:val="18"/>
              </w:rPr>
              <w:t>(CPO, CISO, DPO)</w:t>
            </w:r>
          </w:p>
        </w:tc>
        <w:tc>
          <w:tcPr>
            <w:tcW w:w="7393" w:type="dxa"/>
            <w:tcMar>
              <w:top w:w="57" w:type="dxa"/>
              <w:bottom w:w="57" w:type="dxa"/>
            </w:tcMar>
          </w:tcPr>
          <w:p w14:paraId="52E614A5" w14:textId="77777777" w:rsidR="00A3659A" w:rsidRPr="00E81F22" w:rsidRDefault="00A3659A" w:rsidP="00A3659A">
            <w:pPr>
              <w:pStyle w:val="ListParagraph"/>
              <w:numPr>
                <w:ilvl w:val="0"/>
                <w:numId w:val="25"/>
              </w:numPr>
              <w:rPr>
                <w:rFonts w:eastAsiaTheme="minorHAnsi"/>
                <w:sz w:val="18"/>
                <w:szCs w:val="18"/>
                <w:lang w:eastAsia="en-US"/>
              </w:rPr>
            </w:pPr>
            <w:r w:rsidRPr="00E81F22">
              <w:rPr>
                <w:rFonts w:eastAsiaTheme="minorHAnsi"/>
                <w:sz w:val="18"/>
                <w:szCs w:val="18"/>
                <w:lang w:eastAsia="en-US"/>
              </w:rPr>
              <w:t>Executive sponsor who is responsible for driving the strategic vision for the organization &amp; making key decisions</w:t>
            </w:r>
          </w:p>
          <w:p w14:paraId="5FB2F23A" w14:textId="77777777" w:rsidR="00A3659A" w:rsidRPr="00E81F22" w:rsidRDefault="00A3659A" w:rsidP="00A3659A">
            <w:pPr>
              <w:pStyle w:val="ListParagraph"/>
              <w:numPr>
                <w:ilvl w:val="0"/>
                <w:numId w:val="25"/>
              </w:numPr>
              <w:rPr>
                <w:rFonts w:eastAsiaTheme="minorHAnsi"/>
                <w:sz w:val="18"/>
                <w:szCs w:val="18"/>
                <w:lang w:eastAsia="en-US"/>
              </w:rPr>
            </w:pPr>
            <w:r w:rsidRPr="00E81F22">
              <w:rPr>
                <w:rFonts w:eastAsiaTheme="minorHAnsi"/>
                <w:sz w:val="18"/>
                <w:szCs w:val="18"/>
                <w:lang w:eastAsia="en-US"/>
              </w:rPr>
              <w:t>Ultimate authority and accountability for the project and delivery on project objectives</w:t>
            </w:r>
          </w:p>
          <w:p w14:paraId="6F0397AC" w14:textId="77777777" w:rsidR="00A3659A" w:rsidRPr="00E81F22" w:rsidRDefault="00A3659A" w:rsidP="00A3659A">
            <w:pPr>
              <w:pStyle w:val="ListParagraph"/>
              <w:numPr>
                <w:ilvl w:val="0"/>
                <w:numId w:val="25"/>
              </w:numPr>
              <w:rPr>
                <w:rFonts w:eastAsiaTheme="minorHAnsi"/>
                <w:sz w:val="18"/>
                <w:szCs w:val="18"/>
                <w:lang w:eastAsia="en-US"/>
              </w:rPr>
            </w:pPr>
            <w:r w:rsidRPr="00E81F22">
              <w:rPr>
                <w:rFonts w:eastAsiaTheme="minorHAnsi"/>
                <w:sz w:val="18"/>
                <w:szCs w:val="18"/>
                <w:lang w:eastAsia="en-US"/>
              </w:rPr>
              <w:t>Helps resolve issues escalated by project team</w:t>
            </w:r>
          </w:p>
          <w:p w14:paraId="77DEA44E" w14:textId="77777777" w:rsidR="00A3659A" w:rsidRPr="00E81F22" w:rsidRDefault="00A3659A" w:rsidP="00A3659A">
            <w:pPr>
              <w:pStyle w:val="ListParagraph"/>
              <w:numPr>
                <w:ilvl w:val="0"/>
                <w:numId w:val="25"/>
              </w:numPr>
              <w:rPr>
                <w:rFonts w:eastAsiaTheme="minorHAnsi"/>
                <w:sz w:val="18"/>
                <w:szCs w:val="18"/>
                <w:lang w:eastAsia="en-US"/>
              </w:rPr>
            </w:pPr>
            <w:r w:rsidRPr="00E81F22">
              <w:rPr>
                <w:rFonts w:eastAsiaTheme="minorHAnsi"/>
                <w:sz w:val="18"/>
                <w:szCs w:val="18"/>
                <w:lang w:eastAsia="en-US"/>
              </w:rPr>
              <w:t>Sponsors communication within the company regarding project goals and deliverables</w:t>
            </w:r>
          </w:p>
          <w:p w14:paraId="168B52B3" w14:textId="33524A3C" w:rsidR="00032C5A" w:rsidRPr="00E81F22" w:rsidRDefault="00A3659A" w:rsidP="00A3659A">
            <w:pPr>
              <w:pStyle w:val="ListParagraph"/>
              <w:numPr>
                <w:ilvl w:val="0"/>
                <w:numId w:val="25"/>
              </w:numPr>
              <w:rPr>
                <w:rFonts w:eastAsiaTheme="minorHAnsi"/>
                <w:sz w:val="18"/>
                <w:szCs w:val="18"/>
                <w:lang w:eastAsia="en-US"/>
              </w:rPr>
            </w:pPr>
            <w:r w:rsidRPr="00E81F22">
              <w:rPr>
                <w:sz w:val="18"/>
                <w:szCs w:val="18"/>
              </w:rPr>
              <w:t>Provides guidance and clarity regarding overall security strategy, standards and policies for the organization</w:t>
            </w:r>
          </w:p>
        </w:tc>
      </w:tr>
      <w:tr w:rsidR="00032C5A" w:rsidRPr="00401C29" w14:paraId="39EAE3B2" w14:textId="77777777" w:rsidTr="00E81F22">
        <w:trPr>
          <w:trHeight w:val="432"/>
        </w:trPr>
        <w:tc>
          <w:tcPr>
            <w:tcW w:w="2547" w:type="dxa"/>
            <w:tcMar>
              <w:top w:w="57" w:type="dxa"/>
              <w:bottom w:w="57" w:type="dxa"/>
            </w:tcMar>
          </w:tcPr>
          <w:p w14:paraId="27B35C61" w14:textId="23F246CB" w:rsidR="00032C5A" w:rsidRPr="00E81F22" w:rsidRDefault="00A3659A" w:rsidP="00A80DC4">
            <w:pPr>
              <w:rPr>
                <w:rFonts w:ascii="Calibri,Times New Roman" w:eastAsia="Calibri,Times New Roman" w:hAnsi="Calibri,Times New Roman" w:cs="Calibri,Times New Roman"/>
                <w:b/>
                <w:sz w:val="18"/>
                <w:szCs w:val="18"/>
              </w:rPr>
            </w:pPr>
            <w:r w:rsidRPr="00E81F22">
              <w:rPr>
                <w:rFonts w:ascii="Calibri,Times New Roman" w:eastAsia="Calibri,Times New Roman" w:hAnsi="Calibri,Times New Roman" w:cs="Calibri,Times New Roman"/>
                <w:b/>
                <w:sz w:val="18"/>
                <w:szCs w:val="18"/>
              </w:rPr>
              <w:t>Project Manager</w:t>
            </w:r>
          </w:p>
        </w:tc>
        <w:tc>
          <w:tcPr>
            <w:tcW w:w="7393" w:type="dxa"/>
            <w:tcMar>
              <w:top w:w="57" w:type="dxa"/>
              <w:bottom w:w="57" w:type="dxa"/>
            </w:tcMar>
          </w:tcPr>
          <w:p w14:paraId="2159D1C9" w14:textId="77777777" w:rsidR="00A3659A" w:rsidRPr="00E81F22" w:rsidRDefault="00A3659A" w:rsidP="00A3659A">
            <w:pPr>
              <w:pStyle w:val="ListParagraph"/>
              <w:numPr>
                <w:ilvl w:val="0"/>
                <w:numId w:val="25"/>
              </w:numPr>
              <w:rPr>
                <w:rFonts w:ascii="Calibri,Times New Roman" w:eastAsia="Calibri,Times New Roman" w:hAnsi="Calibri,Times New Roman" w:cs="Calibri,Times New Roman"/>
                <w:sz w:val="18"/>
                <w:szCs w:val="18"/>
                <w:lang w:eastAsia="en-US"/>
              </w:rPr>
            </w:pPr>
            <w:r w:rsidRPr="00E81F22">
              <w:rPr>
                <w:rFonts w:ascii="Calibri,Times New Roman" w:eastAsia="Calibri,Times New Roman" w:hAnsi="Calibri,Times New Roman" w:cs="Calibri,Times New Roman"/>
                <w:sz w:val="18"/>
                <w:szCs w:val="18"/>
                <w:lang w:eastAsia="en-US"/>
              </w:rPr>
              <w:t>Coordinates partner and working teams engaged in the project</w:t>
            </w:r>
          </w:p>
          <w:p w14:paraId="0DD1C977" w14:textId="77777777" w:rsidR="00A3659A" w:rsidRPr="00E81F22" w:rsidRDefault="00A3659A" w:rsidP="00A3659A">
            <w:pPr>
              <w:pStyle w:val="ListParagraph"/>
              <w:numPr>
                <w:ilvl w:val="0"/>
                <w:numId w:val="25"/>
              </w:numPr>
              <w:rPr>
                <w:rFonts w:ascii="Calibri,Times New Roman" w:eastAsia="Calibri,Times New Roman" w:hAnsi="Calibri,Times New Roman" w:cs="Calibri,Times New Roman"/>
                <w:sz w:val="18"/>
                <w:szCs w:val="18"/>
                <w:lang w:eastAsia="en-US"/>
              </w:rPr>
            </w:pPr>
            <w:r w:rsidRPr="00E81F22">
              <w:rPr>
                <w:rFonts w:ascii="Calibri,Times New Roman" w:eastAsia="Calibri,Times New Roman" w:hAnsi="Calibri,Times New Roman" w:cs="Calibri,Times New Roman"/>
                <w:sz w:val="18"/>
                <w:szCs w:val="18"/>
                <w:lang w:eastAsia="en-US"/>
              </w:rPr>
              <w:t>Schedules all meetings with appropriate resources</w:t>
            </w:r>
          </w:p>
          <w:p w14:paraId="442A8B9C" w14:textId="77777777" w:rsidR="00A3659A" w:rsidRPr="00E81F22" w:rsidRDefault="00A3659A" w:rsidP="00A3659A">
            <w:pPr>
              <w:pStyle w:val="ListParagraph"/>
              <w:numPr>
                <w:ilvl w:val="0"/>
                <w:numId w:val="25"/>
              </w:numPr>
              <w:rPr>
                <w:rFonts w:ascii="Calibri,Times New Roman" w:eastAsia="Calibri,Times New Roman" w:hAnsi="Calibri,Times New Roman" w:cs="Calibri,Times New Roman"/>
                <w:sz w:val="18"/>
                <w:szCs w:val="18"/>
                <w:lang w:eastAsia="en-US"/>
              </w:rPr>
            </w:pPr>
            <w:r w:rsidRPr="00E81F22">
              <w:rPr>
                <w:rFonts w:ascii="Calibri,Times New Roman" w:eastAsia="Calibri,Times New Roman" w:hAnsi="Calibri,Times New Roman" w:cs="Calibri,Times New Roman"/>
                <w:sz w:val="18"/>
                <w:szCs w:val="18"/>
                <w:lang w:eastAsia="en-US"/>
              </w:rPr>
              <w:t xml:space="preserve">Is the central point for dissemination of the engagement </w:t>
            </w:r>
            <w:proofErr w:type="gramStart"/>
            <w:r w:rsidRPr="00E81F22">
              <w:rPr>
                <w:rFonts w:ascii="Calibri,Times New Roman" w:eastAsia="Calibri,Times New Roman" w:hAnsi="Calibri,Times New Roman" w:cs="Calibri,Times New Roman"/>
                <w:sz w:val="18"/>
                <w:szCs w:val="18"/>
                <w:lang w:eastAsia="en-US"/>
              </w:rPr>
              <w:t>deliverables</w:t>
            </w:r>
            <w:proofErr w:type="gramEnd"/>
          </w:p>
          <w:p w14:paraId="2F3AAE0C" w14:textId="77777777" w:rsidR="00A3659A" w:rsidRPr="00E81F22" w:rsidRDefault="00A3659A" w:rsidP="00A3659A">
            <w:pPr>
              <w:pStyle w:val="ListParagraph"/>
              <w:numPr>
                <w:ilvl w:val="0"/>
                <w:numId w:val="25"/>
              </w:numPr>
              <w:rPr>
                <w:rFonts w:ascii="Calibri,Times New Roman" w:eastAsia="Calibri,Times New Roman" w:hAnsi="Calibri,Times New Roman" w:cs="Calibri,Times New Roman"/>
                <w:sz w:val="18"/>
                <w:szCs w:val="18"/>
                <w:lang w:eastAsia="en-US"/>
              </w:rPr>
            </w:pPr>
            <w:r w:rsidRPr="00E81F22">
              <w:rPr>
                <w:rFonts w:ascii="Calibri,Times New Roman" w:eastAsia="Calibri,Times New Roman" w:hAnsi="Calibri,Times New Roman" w:cs="Calibri,Times New Roman"/>
                <w:sz w:val="18"/>
                <w:szCs w:val="18"/>
                <w:lang w:eastAsia="en-US"/>
              </w:rPr>
              <w:t>Records and manages project issues, including escalations</w:t>
            </w:r>
          </w:p>
          <w:p w14:paraId="7933DC0C" w14:textId="77777777" w:rsidR="00A3659A" w:rsidRPr="00E81F22" w:rsidRDefault="00A3659A" w:rsidP="00A3659A">
            <w:pPr>
              <w:pStyle w:val="ListParagraph"/>
              <w:numPr>
                <w:ilvl w:val="0"/>
                <w:numId w:val="25"/>
              </w:numPr>
              <w:rPr>
                <w:rFonts w:ascii="Calibri,Times New Roman" w:eastAsia="Calibri,Times New Roman" w:hAnsi="Calibri,Times New Roman" w:cs="Calibri,Times New Roman"/>
                <w:sz w:val="18"/>
                <w:szCs w:val="18"/>
                <w:lang w:eastAsia="en-US"/>
              </w:rPr>
            </w:pPr>
            <w:r w:rsidRPr="00E81F22">
              <w:rPr>
                <w:rFonts w:ascii="Calibri,Times New Roman" w:eastAsia="Calibri,Times New Roman" w:hAnsi="Calibri,Times New Roman" w:cs="Calibri,Times New Roman"/>
                <w:sz w:val="18"/>
                <w:szCs w:val="18"/>
                <w:lang w:eastAsia="en-US"/>
              </w:rPr>
              <w:t>Liaises with, and provides updates to, project executive sponsors</w:t>
            </w:r>
          </w:p>
          <w:p w14:paraId="26EBAA24" w14:textId="558DA275" w:rsidR="00032C5A" w:rsidRPr="00E81F22" w:rsidRDefault="00A3659A" w:rsidP="00A3659A">
            <w:pPr>
              <w:pStyle w:val="ListParagraph"/>
              <w:numPr>
                <w:ilvl w:val="0"/>
                <w:numId w:val="25"/>
              </w:numPr>
              <w:rPr>
                <w:rFonts w:ascii="Calibri,Times New Roman" w:eastAsia="Calibri,Times New Roman" w:hAnsi="Calibri,Times New Roman" w:cs="Calibri,Times New Roman"/>
                <w:sz w:val="18"/>
                <w:szCs w:val="18"/>
                <w:lang w:eastAsia="en-US"/>
              </w:rPr>
            </w:pPr>
            <w:r w:rsidRPr="00E81F22">
              <w:rPr>
                <w:rFonts w:ascii="Calibri,Times New Roman" w:eastAsia="Calibri,Times New Roman" w:hAnsi="Calibri,Times New Roman" w:cs="Calibri,Times New Roman"/>
                <w:sz w:val="18"/>
                <w:szCs w:val="18"/>
              </w:rPr>
              <w:t>Ensures that the on-site requirements are met in time for the 2-day on-site workshops</w:t>
            </w:r>
          </w:p>
        </w:tc>
      </w:tr>
      <w:tr w:rsidR="00032C5A" w:rsidRPr="00401C29" w14:paraId="4FEAA91D" w14:textId="77777777" w:rsidTr="00E81F22">
        <w:trPr>
          <w:cnfStyle w:val="000000100000" w:firstRow="0" w:lastRow="0" w:firstColumn="0" w:lastColumn="0" w:oddVBand="0" w:evenVBand="0" w:oddHBand="1" w:evenHBand="0" w:firstRowFirstColumn="0" w:firstRowLastColumn="0" w:lastRowFirstColumn="0" w:lastRowLastColumn="0"/>
          <w:trHeight w:val="432"/>
        </w:trPr>
        <w:tc>
          <w:tcPr>
            <w:tcW w:w="2547" w:type="dxa"/>
            <w:tcMar>
              <w:top w:w="57" w:type="dxa"/>
              <w:bottom w:w="57" w:type="dxa"/>
            </w:tcMar>
          </w:tcPr>
          <w:p w14:paraId="032DFB7C" w14:textId="419A9094" w:rsidR="00032C5A" w:rsidRPr="00E81F22" w:rsidRDefault="00A3659A" w:rsidP="00A80DC4">
            <w:pPr>
              <w:pStyle w:val="CommentText"/>
              <w:rPr>
                <w:b/>
                <w:sz w:val="18"/>
                <w:szCs w:val="18"/>
              </w:rPr>
            </w:pPr>
            <w:r w:rsidRPr="00E81F22">
              <w:rPr>
                <w:b/>
                <w:sz w:val="18"/>
                <w:szCs w:val="18"/>
              </w:rPr>
              <w:t>Enterprise, Compliance and/or Privacy Architects</w:t>
            </w:r>
          </w:p>
        </w:tc>
        <w:tc>
          <w:tcPr>
            <w:tcW w:w="7393" w:type="dxa"/>
            <w:tcMar>
              <w:top w:w="57" w:type="dxa"/>
              <w:bottom w:w="57" w:type="dxa"/>
            </w:tcMar>
          </w:tcPr>
          <w:p w14:paraId="7F5F417E" w14:textId="77777777" w:rsidR="00A3659A" w:rsidRPr="00E81F22" w:rsidRDefault="00A3659A" w:rsidP="00A3659A">
            <w:pPr>
              <w:pStyle w:val="ListParagraph"/>
              <w:numPr>
                <w:ilvl w:val="0"/>
                <w:numId w:val="25"/>
              </w:numPr>
              <w:rPr>
                <w:rFonts w:eastAsiaTheme="minorHAnsi"/>
                <w:sz w:val="18"/>
                <w:szCs w:val="18"/>
                <w:lang w:eastAsia="en-US"/>
              </w:rPr>
            </w:pPr>
            <w:r w:rsidRPr="00E81F22">
              <w:rPr>
                <w:rFonts w:eastAsiaTheme="minorHAnsi"/>
                <w:sz w:val="18"/>
                <w:szCs w:val="18"/>
                <w:lang w:eastAsia="en-US"/>
              </w:rPr>
              <w:t>Responsible for compliance and privacy strategy defined by the organization</w:t>
            </w:r>
          </w:p>
          <w:p w14:paraId="046070F8" w14:textId="77777777" w:rsidR="00A3659A" w:rsidRPr="00E81F22" w:rsidRDefault="00A3659A" w:rsidP="00A3659A">
            <w:pPr>
              <w:pStyle w:val="ListParagraph"/>
              <w:numPr>
                <w:ilvl w:val="0"/>
                <w:numId w:val="25"/>
              </w:numPr>
              <w:rPr>
                <w:rFonts w:eastAsiaTheme="minorHAnsi"/>
                <w:sz w:val="18"/>
                <w:szCs w:val="18"/>
                <w:lang w:eastAsia="en-US"/>
              </w:rPr>
            </w:pPr>
            <w:r w:rsidRPr="00E81F22">
              <w:rPr>
                <w:rFonts w:eastAsiaTheme="minorHAnsi"/>
                <w:sz w:val="18"/>
                <w:szCs w:val="18"/>
                <w:lang w:eastAsia="en-US"/>
              </w:rPr>
              <w:t>Analyses and chooses products for the organization that meets business goals</w:t>
            </w:r>
          </w:p>
          <w:p w14:paraId="02DA9DC2" w14:textId="77777777" w:rsidR="00A3659A" w:rsidRPr="00E81F22" w:rsidRDefault="00A3659A" w:rsidP="00A3659A">
            <w:pPr>
              <w:pStyle w:val="ListParagraph"/>
              <w:numPr>
                <w:ilvl w:val="0"/>
                <w:numId w:val="25"/>
              </w:numPr>
              <w:rPr>
                <w:rFonts w:eastAsiaTheme="minorHAnsi"/>
                <w:sz w:val="18"/>
                <w:szCs w:val="18"/>
                <w:lang w:eastAsia="en-US"/>
              </w:rPr>
            </w:pPr>
            <w:r w:rsidRPr="00E81F22">
              <w:rPr>
                <w:rFonts w:eastAsiaTheme="minorHAnsi"/>
                <w:sz w:val="18"/>
                <w:szCs w:val="18"/>
                <w:lang w:eastAsia="en-US"/>
              </w:rPr>
              <w:t>Accountable for creating and maintaining the compliance architecture</w:t>
            </w:r>
          </w:p>
          <w:p w14:paraId="17E2CFC7" w14:textId="77777777" w:rsidR="00A3659A" w:rsidRPr="00E81F22" w:rsidRDefault="00A3659A" w:rsidP="00A3659A">
            <w:pPr>
              <w:pStyle w:val="ListParagraph"/>
              <w:numPr>
                <w:ilvl w:val="0"/>
                <w:numId w:val="25"/>
              </w:numPr>
              <w:rPr>
                <w:rFonts w:eastAsiaTheme="minorHAnsi"/>
                <w:sz w:val="18"/>
                <w:szCs w:val="18"/>
                <w:lang w:eastAsia="en-US"/>
              </w:rPr>
            </w:pPr>
            <w:r w:rsidRPr="00E81F22">
              <w:rPr>
                <w:rFonts w:eastAsiaTheme="minorHAnsi"/>
                <w:sz w:val="18"/>
                <w:szCs w:val="18"/>
                <w:lang w:eastAsia="en-US"/>
              </w:rPr>
              <w:t>Responsible for operation of compliance and privacy products</w:t>
            </w:r>
          </w:p>
          <w:p w14:paraId="16157308" w14:textId="7349D6E4" w:rsidR="00032C5A" w:rsidRPr="00E81F22" w:rsidRDefault="00A3659A" w:rsidP="00A3659A">
            <w:pPr>
              <w:pStyle w:val="ListParagraph"/>
              <w:numPr>
                <w:ilvl w:val="0"/>
                <w:numId w:val="25"/>
              </w:numPr>
              <w:rPr>
                <w:rFonts w:eastAsiaTheme="minorHAnsi"/>
                <w:sz w:val="18"/>
                <w:szCs w:val="18"/>
                <w:lang w:eastAsia="en-US"/>
              </w:rPr>
            </w:pPr>
            <w:r w:rsidRPr="00E81F22">
              <w:rPr>
                <w:sz w:val="18"/>
                <w:szCs w:val="18"/>
              </w:rPr>
              <w:t>Provides insights into current and planned compliance and privacy guidelines, requirements and standards for the organization</w:t>
            </w:r>
          </w:p>
        </w:tc>
      </w:tr>
      <w:tr w:rsidR="00032C5A" w:rsidRPr="00401C29" w14:paraId="3F704F77" w14:textId="77777777" w:rsidTr="00E81F22">
        <w:trPr>
          <w:trHeight w:val="432"/>
        </w:trPr>
        <w:tc>
          <w:tcPr>
            <w:tcW w:w="2547" w:type="dxa"/>
            <w:tcMar>
              <w:top w:w="57" w:type="dxa"/>
              <w:bottom w:w="57" w:type="dxa"/>
            </w:tcMar>
          </w:tcPr>
          <w:p w14:paraId="786698A5" w14:textId="43A6B071" w:rsidR="00032C5A" w:rsidRPr="00E81F22" w:rsidRDefault="00A3659A" w:rsidP="00A80DC4">
            <w:pPr>
              <w:pStyle w:val="CommentText"/>
              <w:rPr>
                <w:b/>
                <w:sz w:val="18"/>
                <w:szCs w:val="18"/>
              </w:rPr>
            </w:pPr>
            <w:r w:rsidRPr="00E81F22">
              <w:rPr>
                <w:b/>
                <w:sz w:val="18"/>
                <w:szCs w:val="18"/>
              </w:rPr>
              <w:t>Privacy &amp; Compliance Specialists</w:t>
            </w:r>
          </w:p>
        </w:tc>
        <w:tc>
          <w:tcPr>
            <w:tcW w:w="7393" w:type="dxa"/>
            <w:tcMar>
              <w:top w:w="57" w:type="dxa"/>
              <w:bottom w:w="57" w:type="dxa"/>
            </w:tcMar>
          </w:tcPr>
          <w:p w14:paraId="4F3BEA9E" w14:textId="77777777" w:rsidR="00A3659A" w:rsidRPr="00E81F22" w:rsidRDefault="00A3659A" w:rsidP="00A3659A">
            <w:pPr>
              <w:pStyle w:val="ListParagraph"/>
              <w:numPr>
                <w:ilvl w:val="0"/>
                <w:numId w:val="25"/>
              </w:numPr>
              <w:rPr>
                <w:rFonts w:eastAsiaTheme="minorHAnsi"/>
                <w:sz w:val="18"/>
                <w:szCs w:val="18"/>
                <w:lang w:eastAsia="en-US"/>
              </w:rPr>
            </w:pPr>
            <w:r w:rsidRPr="00E81F22">
              <w:rPr>
                <w:rFonts w:eastAsiaTheme="minorHAnsi"/>
                <w:sz w:val="18"/>
                <w:szCs w:val="18"/>
                <w:lang w:eastAsia="en-US"/>
              </w:rPr>
              <w:t>Responsible the deployment, operations and maintenance of security solutions</w:t>
            </w:r>
          </w:p>
          <w:p w14:paraId="12FAED5A" w14:textId="48A49826" w:rsidR="00032C5A" w:rsidRPr="00E81F22" w:rsidRDefault="00A3659A" w:rsidP="00A3659A">
            <w:pPr>
              <w:pStyle w:val="ListParagraph"/>
              <w:numPr>
                <w:ilvl w:val="0"/>
                <w:numId w:val="25"/>
              </w:numPr>
              <w:rPr>
                <w:rFonts w:eastAsiaTheme="minorHAnsi"/>
                <w:sz w:val="18"/>
                <w:szCs w:val="18"/>
                <w:lang w:eastAsia="en-US"/>
              </w:rPr>
            </w:pPr>
            <w:r w:rsidRPr="00E81F22">
              <w:rPr>
                <w:sz w:val="18"/>
                <w:szCs w:val="18"/>
              </w:rPr>
              <w:t>Provides technical knowledge on how existing security controls have been implemented</w:t>
            </w:r>
          </w:p>
        </w:tc>
      </w:tr>
    </w:tbl>
    <w:p w14:paraId="2DF23B3D" w14:textId="77777777" w:rsidR="00032C5A" w:rsidRPr="00A3659A" w:rsidRDefault="00032C5A" w:rsidP="00032C5A">
      <w:pPr>
        <w:pStyle w:val="Heading1"/>
      </w:pPr>
      <w:bookmarkStart w:id="30" w:name="_Toc499706396"/>
      <w:bookmarkStart w:id="31" w:name="_Toc510103897"/>
      <w:r w:rsidRPr="00A3659A">
        <w:lastRenderedPageBreak/>
        <w:t>Customer Responsibilities</w:t>
      </w:r>
      <w:bookmarkEnd w:id="30"/>
      <w:bookmarkEnd w:id="31"/>
      <w:r w:rsidRPr="00A3659A">
        <w:t xml:space="preserve"> </w:t>
      </w:r>
    </w:p>
    <w:p w14:paraId="20B76A9E" w14:textId="022F9370" w:rsidR="00032C5A" w:rsidRPr="00A3659A" w:rsidRDefault="00A3659A" w:rsidP="00032C5A">
      <w:r>
        <w:t>The customer is responsible to:</w:t>
      </w:r>
    </w:p>
    <w:p w14:paraId="3781F6E2" w14:textId="0F52BED9" w:rsidR="00032C5A" w:rsidRPr="00A3659A" w:rsidRDefault="00032C5A" w:rsidP="00032C5A">
      <w:pPr>
        <w:pStyle w:val="Bulletlist"/>
        <w:rPr>
          <w:sz w:val="22"/>
        </w:rPr>
      </w:pPr>
      <w:r w:rsidRPr="00A3659A">
        <w:rPr>
          <w:sz w:val="22"/>
        </w:rPr>
        <w:t xml:space="preserve">Provide </w:t>
      </w:r>
      <w:r w:rsidR="00A3659A" w:rsidRPr="00A3659A">
        <w:rPr>
          <w:sz w:val="22"/>
        </w:rPr>
        <w:t xml:space="preserve">accurate and complete </w:t>
      </w:r>
      <w:r w:rsidRPr="00A3659A">
        <w:rPr>
          <w:sz w:val="22"/>
        </w:rPr>
        <w:t>information</w:t>
      </w:r>
      <w:r w:rsidR="00A3659A" w:rsidRPr="00A3659A">
        <w:rPr>
          <w:sz w:val="22"/>
        </w:rPr>
        <w:t xml:space="preserve"> during the workshop</w:t>
      </w:r>
      <w:r w:rsidR="00C01D53">
        <w:rPr>
          <w:sz w:val="22"/>
        </w:rPr>
        <w:t>.</w:t>
      </w:r>
    </w:p>
    <w:p w14:paraId="77DF7F8E" w14:textId="15CF8A3D" w:rsidR="00032C5A" w:rsidRPr="00A3659A" w:rsidRDefault="00032C5A" w:rsidP="00032C5A">
      <w:pPr>
        <w:pStyle w:val="Bulletlist"/>
        <w:rPr>
          <w:sz w:val="22"/>
        </w:rPr>
      </w:pPr>
      <w:r w:rsidRPr="00A3659A">
        <w:rPr>
          <w:sz w:val="22"/>
        </w:rPr>
        <w:t>Provide access to people</w:t>
      </w:r>
      <w:r w:rsidR="00A3659A" w:rsidRPr="00A3659A">
        <w:rPr>
          <w:sz w:val="22"/>
        </w:rPr>
        <w:t xml:space="preserve"> (responders)</w:t>
      </w:r>
      <w:r w:rsidRPr="00A3659A">
        <w:rPr>
          <w:sz w:val="22"/>
        </w:rPr>
        <w:t>:</w:t>
      </w:r>
    </w:p>
    <w:p w14:paraId="6967472B" w14:textId="3BD76E6F" w:rsidR="00032C5A" w:rsidRPr="00A3659A" w:rsidRDefault="00032C5A" w:rsidP="00A3659A">
      <w:pPr>
        <w:pStyle w:val="Bulletlist"/>
        <w:numPr>
          <w:ilvl w:val="1"/>
          <w:numId w:val="24"/>
        </w:numPr>
        <w:rPr>
          <w:sz w:val="22"/>
        </w:rPr>
      </w:pPr>
      <w:r w:rsidRPr="00A3659A">
        <w:rPr>
          <w:sz w:val="22"/>
        </w:rPr>
        <w:t xml:space="preserve">This includes access to knowledgeable </w:t>
      </w:r>
      <w:r w:rsidR="00A3659A" w:rsidRPr="00A3659A">
        <w:rPr>
          <w:sz w:val="22"/>
        </w:rPr>
        <w:t>c</w:t>
      </w:r>
      <w:r w:rsidRPr="00A3659A">
        <w:rPr>
          <w:sz w:val="22"/>
        </w:rPr>
        <w:t>ustomer personnel, including business user representatives.</w:t>
      </w:r>
    </w:p>
    <w:p w14:paraId="5D83A1E4" w14:textId="23A5A723" w:rsidR="00032C5A" w:rsidRPr="00A3659A" w:rsidRDefault="00032C5A" w:rsidP="00A3659A">
      <w:pPr>
        <w:pStyle w:val="Bulletlist"/>
        <w:rPr>
          <w:sz w:val="24"/>
        </w:rPr>
      </w:pPr>
      <w:r w:rsidRPr="00A3659A">
        <w:rPr>
          <w:sz w:val="22"/>
        </w:rPr>
        <w:t>Provide a</w:t>
      </w:r>
      <w:r w:rsidR="00A3659A" w:rsidRPr="00A3659A">
        <w:rPr>
          <w:sz w:val="22"/>
        </w:rPr>
        <w:t xml:space="preserve"> conference room to be used during the workshop and close out presentation</w:t>
      </w:r>
      <w:r w:rsidR="00C01D53">
        <w:rPr>
          <w:sz w:val="22"/>
        </w:rPr>
        <w:t>.</w:t>
      </w:r>
    </w:p>
    <w:bookmarkEnd w:id="0"/>
    <w:bookmarkEnd w:id="1"/>
    <w:p w14:paraId="7358BD67" w14:textId="77777777" w:rsidR="00105685" w:rsidRPr="004C04B5" w:rsidRDefault="00105685" w:rsidP="00105685">
      <w:pPr>
        <w:pStyle w:val="Heading1"/>
      </w:pPr>
    </w:p>
    <w:sectPr w:rsidR="00105685" w:rsidRPr="004C04B5" w:rsidSect="0040055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AA84C" w14:textId="77777777" w:rsidR="00404534" w:rsidRDefault="00404534" w:rsidP="00BB5205">
      <w:r>
        <w:separator/>
      </w:r>
    </w:p>
  </w:endnote>
  <w:endnote w:type="continuationSeparator" w:id="0">
    <w:p w14:paraId="57B49EF7" w14:textId="77777777" w:rsidR="00404534" w:rsidRDefault="00404534" w:rsidP="00BB5205">
      <w:r>
        <w:continuationSeparator/>
      </w:r>
    </w:p>
  </w:endnote>
  <w:endnote w:type="continuationNotice" w:id="1">
    <w:p w14:paraId="7CEB2E08" w14:textId="77777777" w:rsidR="00404534" w:rsidRDefault="004045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Calibri,Times New Roman">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3C9FF" w14:textId="77777777" w:rsidR="00C01D53" w:rsidRDefault="00C01D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86798" w14:textId="68AC68C2" w:rsidR="00C01D53" w:rsidRPr="004309C4" w:rsidRDefault="00C01D53">
    <w:pPr>
      <w:pStyle w:val="Footer"/>
      <w:tabs>
        <w:tab w:val="clear" w:pos="4680"/>
        <w:tab w:val="clear" w:pos="9360"/>
      </w:tabs>
      <w:jc w:val="center"/>
      <w:rPr>
        <w:caps/>
        <w:noProof/>
      </w:rPr>
    </w:pPr>
    <w:r w:rsidRPr="004309C4">
      <w:rPr>
        <w:caps/>
      </w:rPr>
      <w:fldChar w:fldCharType="begin"/>
    </w:r>
    <w:r w:rsidRPr="004309C4">
      <w:rPr>
        <w:caps/>
      </w:rPr>
      <w:instrText xml:space="preserve"> PAGE   \* MERGEFORMAT </w:instrText>
    </w:r>
    <w:r w:rsidRPr="004309C4">
      <w:rPr>
        <w:caps/>
      </w:rPr>
      <w:fldChar w:fldCharType="separate"/>
    </w:r>
    <w:r w:rsidR="00DD6E1A">
      <w:rPr>
        <w:caps/>
        <w:noProof/>
      </w:rPr>
      <w:t>5</w:t>
    </w:r>
    <w:r w:rsidRPr="004309C4">
      <w:rPr>
        <w:caps/>
        <w:noProof/>
      </w:rPr>
      <w:fldChar w:fldCharType="end"/>
    </w:r>
  </w:p>
  <w:p w14:paraId="364F9FE3" w14:textId="33F8D7B3" w:rsidR="00C01D53" w:rsidRPr="004309C4" w:rsidRDefault="00C01D53" w:rsidP="004309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5DDDC" w14:textId="77777777" w:rsidR="00C01D53" w:rsidRDefault="00C01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F666D" w14:textId="77777777" w:rsidR="00404534" w:rsidRDefault="00404534" w:rsidP="00BB5205">
      <w:r>
        <w:separator/>
      </w:r>
    </w:p>
  </w:footnote>
  <w:footnote w:type="continuationSeparator" w:id="0">
    <w:p w14:paraId="05473B7E" w14:textId="77777777" w:rsidR="00404534" w:rsidRDefault="00404534" w:rsidP="00BB5205">
      <w:r>
        <w:continuationSeparator/>
      </w:r>
    </w:p>
  </w:footnote>
  <w:footnote w:type="continuationNotice" w:id="1">
    <w:p w14:paraId="63EAF6C9" w14:textId="77777777" w:rsidR="00404534" w:rsidRDefault="004045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66CDD" w14:textId="77777777" w:rsidR="00C01D53" w:rsidRDefault="00C01D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454126"/>
      <w:docPartObj>
        <w:docPartGallery w:val="Watermarks"/>
        <w:docPartUnique/>
      </w:docPartObj>
    </w:sdtPr>
    <w:sdtContent>
      <w:p w14:paraId="7A1F4F85" w14:textId="60125172" w:rsidR="00C01D53" w:rsidRDefault="00BF2A67">
        <w:pPr>
          <w:pStyle w:val="Header"/>
        </w:pPr>
        <w:r>
          <w:rPr>
            <w:noProof/>
          </w:rPr>
          <w:pict w14:anchorId="57DBD5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60D0" w14:textId="77777777" w:rsidR="00C01D53" w:rsidRDefault="00C01D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973"/>
    <w:multiLevelType w:val="hybridMultilevel"/>
    <w:tmpl w:val="00D68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15119"/>
    <w:multiLevelType w:val="hybridMultilevel"/>
    <w:tmpl w:val="C3EE3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6872E1"/>
    <w:multiLevelType w:val="hybridMultilevel"/>
    <w:tmpl w:val="C1D6A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6D6838"/>
    <w:multiLevelType w:val="hybridMultilevel"/>
    <w:tmpl w:val="DABA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92AE2"/>
    <w:multiLevelType w:val="hybridMultilevel"/>
    <w:tmpl w:val="BEB60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155F16"/>
    <w:multiLevelType w:val="hybridMultilevel"/>
    <w:tmpl w:val="AC3C2BD8"/>
    <w:lvl w:ilvl="0" w:tplc="58AAFD36">
      <w:start w:val="1"/>
      <w:numFmt w:val="upperRoman"/>
      <w:lvlText w:val="%1."/>
      <w:lvlJc w:val="left"/>
      <w:pPr>
        <w:ind w:left="1080" w:hanging="72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62B9E"/>
    <w:multiLevelType w:val="hybridMultilevel"/>
    <w:tmpl w:val="A3A43D1A"/>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460836"/>
    <w:multiLevelType w:val="hybridMultilevel"/>
    <w:tmpl w:val="71007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B63733"/>
    <w:multiLevelType w:val="hybridMultilevel"/>
    <w:tmpl w:val="C0C8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43CBD"/>
    <w:multiLevelType w:val="hybridMultilevel"/>
    <w:tmpl w:val="B30C7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9000A9"/>
    <w:multiLevelType w:val="hybridMultilevel"/>
    <w:tmpl w:val="E4AE6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3D718A"/>
    <w:multiLevelType w:val="hybridMultilevel"/>
    <w:tmpl w:val="83EA3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05463F"/>
    <w:multiLevelType w:val="hybridMultilevel"/>
    <w:tmpl w:val="2D823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6265F8"/>
    <w:multiLevelType w:val="hybridMultilevel"/>
    <w:tmpl w:val="3690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980C2C"/>
    <w:multiLevelType w:val="hybridMultilevel"/>
    <w:tmpl w:val="E5F0D346"/>
    <w:lvl w:ilvl="0" w:tplc="34A63A8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50679F"/>
    <w:multiLevelType w:val="hybridMultilevel"/>
    <w:tmpl w:val="244837CE"/>
    <w:lvl w:ilvl="0" w:tplc="41D29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95D69"/>
    <w:multiLevelType w:val="hybridMultilevel"/>
    <w:tmpl w:val="95E2A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6E653C"/>
    <w:multiLevelType w:val="hybridMultilevel"/>
    <w:tmpl w:val="D0EE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4E5574"/>
    <w:multiLevelType w:val="hybridMultilevel"/>
    <w:tmpl w:val="F3906FBE"/>
    <w:lvl w:ilvl="0" w:tplc="2828DF1C">
      <w:numFmt w:val="bullet"/>
      <w:lvlText w:val=""/>
      <w:lvlJc w:val="left"/>
      <w:pPr>
        <w:ind w:left="720" w:hanging="360"/>
      </w:pPr>
      <w:rPr>
        <w:rFonts w:ascii="Symbol" w:eastAsiaTheme="minorEastAsia"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1331E3"/>
    <w:multiLevelType w:val="hybridMultilevel"/>
    <w:tmpl w:val="2830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FD323F"/>
    <w:multiLevelType w:val="hybridMultilevel"/>
    <w:tmpl w:val="AD94A6CE"/>
    <w:lvl w:ilvl="0" w:tplc="A754DD42">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F96E52"/>
    <w:multiLevelType w:val="hybridMultilevel"/>
    <w:tmpl w:val="64126FA8"/>
    <w:lvl w:ilvl="0" w:tplc="74DCB612">
      <w:numFmt w:val="bullet"/>
      <w:lvlText w:val=""/>
      <w:lvlJc w:val="left"/>
      <w:pPr>
        <w:ind w:left="720" w:hanging="360"/>
      </w:pPr>
      <w:rPr>
        <w:rFonts w:ascii="Symbol" w:eastAsiaTheme="minorEastAsia"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C1223D"/>
    <w:multiLevelType w:val="hybridMultilevel"/>
    <w:tmpl w:val="520AC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904984"/>
    <w:multiLevelType w:val="hybridMultilevel"/>
    <w:tmpl w:val="3ABC9912"/>
    <w:lvl w:ilvl="0" w:tplc="C7BAE6DA">
      <w:start w:val="1"/>
      <w:numFmt w:val="bullet"/>
      <w:lvlText w:val="•"/>
      <w:lvlJc w:val="left"/>
      <w:pPr>
        <w:tabs>
          <w:tab w:val="num" w:pos="720"/>
        </w:tabs>
        <w:ind w:left="720" w:hanging="360"/>
      </w:pPr>
      <w:rPr>
        <w:rFonts w:ascii="Times New Roman" w:hAnsi="Times New Roman" w:hint="default"/>
      </w:rPr>
    </w:lvl>
    <w:lvl w:ilvl="1" w:tplc="F412DBC4">
      <w:start w:val="1"/>
      <w:numFmt w:val="bullet"/>
      <w:lvlText w:val="•"/>
      <w:lvlJc w:val="left"/>
      <w:pPr>
        <w:tabs>
          <w:tab w:val="num" w:pos="1440"/>
        </w:tabs>
        <w:ind w:left="1440" w:hanging="360"/>
      </w:pPr>
      <w:rPr>
        <w:rFonts w:ascii="Times New Roman" w:hAnsi="Times New Roman" w:hint="default"/>
      </w:rPr>
    </w:lvl>
    <w:lvl w:ilvl="2" w:tplc="744C054C" w:tentative="1">
      <w:start w:val="1"/>
      <w:numFmt w:val="bullet"/>
      <w:lvlText w:val="•"/>
      <w:lvlJc w:val="left"/>
      <w:pPr>
        <w:tabs>
          <w:tab w:val="num" w:pos="2160"/>
        </w:tabs>
        <w:ind w:left="2160" w:hanging="360"/>
      </w:pPr>
      <w:rPr>
        <w:rFonts w:ascii="Times New Roman" w:hAnsi="Times New Roman" w:hint="default"/>
      </w:rPr>
    </w:lvl>
    <w:lvl w:ilvl="3" w:tplc="6D864404" w:tentative="1">
      <w:start w:val="1"/>
      <w:numFmt w:val="bullet"/>
      <w:lvlText w:val="•"/>
      <w:lvlJc w:val="left"/>
      <w:pPr>
        <w:tabs>
          <w:tab w:val="num" w:pos="2880"/>
        </w:tabs>
        <w:ind w:left="2880" w:hanging="360"/>
      </w:pPr>
      <w:rPr>
        <w:rFonts w:ascii="Times New Roman" w:hAnsi="Times New Roman" w:hint="default"/>
      </w:rPr>
    </w:lvl>
    <w:lvl w:ilvl="4" w:tplc="BA609714" w:tentative="1">
      <w:start w:val="1"/>
      <w:numFmt w:val="bullet"/>
      <w:lvlText w:val="•"/>
      <w:lvlJc w:val="left"/>
      <w:pPr>
        <w:tabs>
          <w:tab w:val="num" w:pos="3600"/>
        </w:tabs>
        <w:ind w:left="3600" w:hanging="360"/>
      </w:pPr>
      <w:rPr>
        <w:rFonts w:ascii="Times New Roman" w:hAnsi="Times New Roman" w:hint="default"/>
      </w:rPr>
    </w:lvl>
    <w:lvl w:ilvl="5" w:tplc="53404B80" w:tentative="1">
      <w:start w:val="1"/>
      <w:numFmt w:val="bullet"/>
      <w:lvlText w:val="•"/>
      <w:lvlJc w:val="left"/>
      <w:pPr>
        <w:tabs>
          <w:tab w:val="num" w:pos="4320"/>
        </w:tabs>
        <w:ind w:left="4320" w:hanging="360"/>
      </w:pPr>
      <w:rPr>
        <w:rFonts w:ascii="Times New Roman" w:hAnsi="Times New Roman" w:hint="default"/>
      </w:rPr>
    </w:lvl>
    <w:lvl w:ilvl="6" w:tplc="FC503358" w:tentative="1">
      <w:start w:val="1"/>
      <w:numFmt w:val="bullet"/>
      <w:lvlText w:val="•"/>
      <w:lvlJc w:val="left"/>
      <w:pPr>
        <w:tabs>
          <w:tab w:val="num" w:pos="5040"/>
        </w:tabs>
        <w:ind w:left="5040" w:hanging="360"/>
      </w:pPr>
      <w:rPr>
        <w:rFonts w:ascii="Times New Roman" w:hAnsi="Times New Roman" w:hint="default"/>
      </w:rPr>
    </w:lvl>
    <w:lvl w:ilvl="7" w:tplc="2C2ACD58" w:tentative="1">
      <w:start w:val="1"/>
      <w:numFmt w:val="bullet"/>
      <w:lvlText w:val="•"/>
      <w:lvlJc w:val="left"/>
      <w:pPr>
        <w:tabs>
          <w:tab w:val="num" w:pos="5760"/>
        </w:tabs>
        <w:ind w:left="5760" w:hanging="360"/>
      </w:pPr>
      <w:rPr>
        <w:rFonts w:ascii="Times New Roman" w:hAnsi="Times New Roman" w:hint="default"/>
      </w:rPr>
    </w:lvl>
    <w:lvl w:ilvl="8" w:tplc="5F98AED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E431CA5"/>
    <w:multiLevelType w:val="hybridMultilevel"/>
    <w:tmpl w:val="E4227992"/>
    <w:lvl w:ilvl="0" w:tplc="A754DD42">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7"/>
  </w:num>
  <w:num w:numId="4">
    <w:abstractNumId w:val="14"/>
  </w:num>
  <w:num w:numId="5">
    <w:abstractNumId w:val="21"/>
  </w:num>
  <w:num w:numId="6">
    <w:abstractNumId w:val="18"/>
  </w:num>
  <w:num w:numId="7">
    <w:abstractNumId w:val="19"/>
  </w:num>
  <w:num w:numId="8">
    <w:abstractNumId w:val="8"/>
  </w:num>
  <w:num w:numId="9">
    <w:abstractNumId w:val="13"/>
  </w:num>
  <w:num w:numId="10">
    <w:abstractNumId w:val="24"/>
  </w:num>
  <w:num w:numId="11">
    <w:abstractNumId w:val="20"/>
  </w:num>
  <w:num w:numId="12">
    <w:abstractNumId w:val="15"/>
  </w:num>
  <w:num w:numId="13">
    <w:abstractNumId w:val="7"/>
  </w:num>
  <w:num w:numId="14">
    <w:abstractNumId w:val="9"/>
  </w:num>
  <w:num w:numId="15">
    <w:abstractNumId w:val="2"/>
  </w:num>
  <w:num w:numId="16">
    <w:abstractNumId w:val="0"/>
  </w:num>
  <w:num w:numId="17">
    <w:abstractNumId w:val="22"/>
  </w:num>
  <w:num w:numId="18">
    <w:abstractNumId w:val="16"/>
  </w:num>
  <w:num w:numId="19">
    <w:abstractNumId w:val="1"/>
  </w:num>
  <w:num w:numId="20">
    <w:abstractNumId w:val="12"/>
  </w:num>
  <w:num w:numId="21">
    <w:abstractNumId w:val="4"/>
  </w:num>
  <w:num w:numId="22">
    <w:abstractNumId w:val="10"/>
  </w:num>
  <w:num w:numId="23">
    <w:abstractNumId w:val="23"/>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characterSpacingControl w:val="doNotCompress"/>
  <w:hdrShapeDefaults>
    <o:shapedefaults v:ext="edit" spidmax="2050" style="mso-position-horizontal:left" fill="f" fillcolor="white" stroke="f">
      <v:fill color="white" on="f"/>
      <v:stroke on="f"/>
      <o:colormru v:ext="edit" colors="#008272"/>
    </o:shapedefaults>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7C4"/>
    <w:rsid w:val="000025D2"/>
    <w:rsid w:val="000038AF"/>
    <w:rsid w:val="0000463E"/>
    <w:rsid w:val="00005D18"/>
    <w:rsid w:val="0000699E"/>
    <w:rsid w:val="000116AA"/>
    <w:rsid w:val="000124DA"/>
    <w:rsid w:val="00012A69"/>
    <w:rsid w:val="00014F9E"/>
    <w:rsid w:val="00015108"/>
    <w:rsid w:val="000167DE"/>
    <w:rsid w:val="000173EE"/>
    <w:rsid w:val="00020560"/>
    <w:rsid w:val="000210CB"/>
    <w:rsid w:val="000237F7"/>
    <w:rsid w:val="00024465"/>
    <w:rsid w:val="000250F2"/>
    <w:rsid w:val="0002565E"/>
    <w:rsid w:val="00025786"/>
    <w:rsid w:val="000261ED"/>
    <w:rsid w:val="00030740"/>
    <w:rsid w:val="000320B3"/>
    <w:rsid w:val="00032C5A"/>
    <w:rsid w:val="00033675"/>
    <w:rsid w:val="000338D1"/>
    <w:rsid w:val="00036A9B"/>
    <w:rsid w:val="00036B68"/>
    <w:rsid w:val="00036CF0"/>
    <w:rsid w:val="00036DAF"/>
    <w:rsid w:val="00042E9B"/>
    <w:rsid w:val="00043514"/>
    <w:rsid w:val="00044DCA"/>
    <w:rsid w:val="00045BC1"/>
    <w:rsid w:val="00047039"/>
    <w:rsid w:val="0004737E"/>
    <w:rsid w:val="000500FF"/>
    <w:rsid w:val="000511CD"/>
    <w:rsid w:val="00052EB1"/>
    <w:rsid w:val="00052FBB"/>
    <w:rsid w:val="00055D98"/>
    <w:rsid w:val="000569D8"/>
    <w:rsid w:val="00057D30"/>
    <w:rsid w:val="000600D1"/>
    <w:rsid w:val="00061F8A"/>
    <w:rsid w:val="0006277B"/>
    <w:rsid w:val="000651CE"/>
    <w:rsid w:val="000652B9"/>
    <w:rsid w:val="0007112B"/>
    <w:rsid w:val="00073517"/>
    <w:rsid w:val="000739C8"/>
    <w:rsid w:val="00073BD8"/>
    <w:rsid w:val="00073D03"/>
    <w:rsid w:val="000766C4"/>
    <w:rsid w:val="00080FD6"/>
    <w:rsid w:val="0008164B"/>
    <w:rsid w:val="00081F25"/>
    <w:rsid w:val="00082B5F"/>
    <w:rsid w:val="000837DA"/>
    <w:rsid w:val="000848D7"/>
    <w:rsid w:val="00086614"/>
    <w:rsid w:val="00086FDB"/>
    <w:rsid w:val="00092288"/>
    <w:rsid w:val="00092A3A"/>
    <w:rsid w:val="00092C65"/>
    <w:rsid w:val="00097053"/>
    <w:rsid w:val="000A00FD"/>
    <w:rsid w:val="000A1B5A"/>
    <w:rsid w:val="000A2139"/>
    <w:rsid w:val="000A2F6A"/>
    <w:rsid w:val="000A4F55"/>
    <w:rsid w:val="000A5139"/>
    <w:rsid w:val="000A553A"/>
    <w:rsid w:val="000B000A"/>
    <w:rsid w:val="000B1454"/>
    <w:rsid w:val="000B15D2"/>
    <w:rsid w:val="000B2048"/>
    <w:rsid w:val="000B391F"/>
    <w:rsid w:val="000B4F8E"/>
    <w:rsid w:val="000B5D30"/>
    <w:rsid w:val="000B7643"/>
    <w:rsid w:val="000B7A16"/>
    <w:rsid w:val="000C130B"/>
    <w:rsid w:val="000C1D1F"/>
    <w:rsid w:val="000C2F04"/>
    <w:rsid w:val="000C2F85"/>
    <w:rsid w:val="000C3743"/>
    <w:rsid w:val="000C59B3"/>
    <w:rsid w:val="000C5F78"/>
    <w:rsid w:val="000D3E50"/>
    <w:rsid w:val="000D3EBD"/>
    <w:rsid w:val="000D6372"/>
    <w:rsid w:val="000D64D7"/>
    <w:rsid w:val="000D6C16"/>
    <w:rsid w:val="000E4039"/>
    <w:rsid w:val="000E433A"/>
    <w:rsid w:val="000E4AE1"/>
    <w:rsid w:val="000E554E"/>
    <w:rsid w:val="000F0815"/>
    <w:rsid w:val="000F0FDE"/>
    <w:rsid w:val="000F26CE"/>
    <w:rsid w:val="000F5639"/>
    <w:rsid w:val="000F5EF3"/>
    <w:rsid w:val="000F67F9"/>
    <w:rsid w:val="000F6EFA"/>
    <w:rsid w:val="000F7C68"/>
    <w:rsid w:val="001005D2"/>
    <w:rsid w:val="00100728"/>
    <w:rsid w:val="001012F6"/>
    <w:rsid w:val="00101842"/>
    <w:rsid w:val="00104EFE"/>
    <w:rsid w:val="00104F62"/>
    <w:rsid w:val="00105685"/>
    <w:rsid w:val="00106051"/>
    <w:rsid w:val="00106D84"/>
    <w:rsid w:val="00106EEA"/>
    <w:rsid w:val="0010712B"/>
    <w:rsid w:val="00110539"/>
    <w:rsid w:val="00110ABF"/>
    <w:rsid w:val="00110F8F"/>
    <w:rsid w:val="00117484"/>
    <w:rsid w:val="00117E12"/>
    <w:rsid w:val="001227E1"/>
    <w:rsid w:val="001236C1"/>
    <w:rsid w:val="001248D9"/>
    <w:rsid w:val="00125302"/>
    <w:rsid w:val="001254A8"/>
    <w:rsid w:val="00126300"/>
    <w:rsid w:val="00131177"/>
    <w:rsid w:val="00133538"/>
    <w:rsid w:val="00133867"/>
    <w:rsid w:val="00134003"/>
    <w:rsid w:val="00134911"/>
    <w:rsid w:val="00136967"/>
    <w:rsid w:val="00140293"/>
    <w:rsid w:val="00140F7A"/>
    <w:rsid w:val="0014102E"/>
    <w:rsid w:val="00141266"/>
    <w:rsid w:val="0014126B"/>
    <w:rsid w:val="00141F8C"/>
    <w:rsid w:val="00142E51"/>
    <w:rsid w:val="00142F75"/>
    <w:rsid w:val="001451F9"/>
    <w:rsid w:val="001453B8"/>
    <w:rsid w:val="0014558A"/>
    <w:rsid w:val="00146446"/>
    <w:rsid w:val="00146524"/>
    <w:rsid w:val="001474DC"/>
    <w:rsid w:val="00153392"/>
    <w:rsid w:val="0015358F"/>
    <w:rsid w:val="00153B01"/>
    <w:rsid w:val="00154DA7"/>
    <w:rsid w:val="00155B4A"/>
    <w:rsid w:val="001561FF"/>
    <w:rsid w:val="001567D7"/>
    <w:rsid w:val="001569EA"/>
    <w:rsid w:val="001577E3"/>
    <w:rsid w:val="00160137"/>
    <w:rsid w:val="00161285"/>
    <w:rsid w:val="001637C5"/>
    <w:rsid w:val="00163DEB"/>
    <w:rsid w:val="001642AB"/>
    <w:rsid w:val="0016603A"/>
    <w:rsid w:val="00166EA2"/>
    <w:rsid w:val="00166F0A"/>
    <w:rsid w:val="00167BFC"/>
    <w:rsid w:val="00171593"/>
    <w:rsid w:val="00172408"/>
    <w:rsid w:val="00172D54"/>
    <w:rsid w:val="00173CB2"/>
    <w:rsid w:val="00174A73"/>
    <w:rsid w:val="00176270"/>
    <w:rsid w:val="001768E1"/>
    <w:rsid w:val="00176D18"/>
    <w:rsid w:val="001779DB"/>
    <w:rsid w:val="00181EB5"/>
    <w:rsid w:val="00184158"/>
    <w:rsid w:val="0018497D"/>
    <w:rsid w:val="001853D9"/>
    <w:rsid w:val="00186AE3"/>
    <w:rsid w:val="001915CA"/>
    <w:rsid w:val="00193913"/>
    <w:rsid w:val="00193F40"/>
    <w:rsid w:val="00193F41"/>
    <w:rsid w:val="0019423B"/>
    <w:rsid w:val="001949D9"/>
    <w:rsid w:val="00194AAA"/>
    <w:rsid w:val="00194CE4"/>
    <w:rsid w:val="00194ECC"/>
    <w:rsid w:val="001964EB"/>
    <w:rsid w:val="00196A15"/>
    <w:rsid w:val="001973A9"/>
    <w:rsid w:val="00197919"/>
    <w:rsid w:val="001A18C2"/>
    <w:rsid w:val="001A1AF2"/>
    <w:rsid w:val="001A390C"/>
    <w:rsid w:val="001A3EE5"/>
    <w:rsid w:val="001A4286"/>
    <w:rsid w:val="001A4D94"/>
    <w:rsid w:val="001A522A"/>
    <w:rsid w:val="001A57EC"/>
    <w:rsid w:val="001A6048"/>
    <w:rsid w:val="001A638A"/>
    <w:rsid w:val="001B048D"/>
    <w:rsid w:val="001B060B"/>
    <w:rsid w:val="001B0CAD"/>
    <w:rsid w:val="001B11C3"/>
    <w:rsid w:val="001B1AFD"/>
    <w:rsid w:val="001B224D"/>
    <w:rsid w:val="001B2506"/>
    <w:rsid w:val="001B255D"/>
    <w:rsid w:val="001B28AF"/>
    <w:rsid w:val="001B2F39"/>
    <w:rsid w:val="001B4C0F"/>
    <w:rsid w:val="001B5542"/>
    <w:rsid w:val="001B556C"/>
    <w:rsid w:val="001B77E1"/>
    <w:rsid w:val="001C199F"/>
    <w:rsid w:val="001C1B9E"/>
    <w:rsid w:val="001C1EC8"/>
    <w:rsid w:val="001C1FD9"/>
    <w:rsid w:val="001C21DD"/>
    <w:rsid w:val="001C3B89"/>
    <w:rsid w:val="001C4540"/>
    <w:rsid w:val="001C515B"/>
    <w:rsid w:val="001C668F"/>
    <w:rsid w:val="001D0294"/>
    <w:rsid w:val="001D498B"/>
    <w:rsid w:val="001D5295"/>
    <w:rsid w:val="001E0D14"/>
    <w:rsid w:val="001E189F"/>
    <w:rsid w:val="001E2995"/>
    <w:rsid w:val="001E3C52"/>
    <w:rsid w:val="001E54EF"/>
    <w:rsid w:val="001E5BCE"/>
    <w:rsid w:val="001F0B8C"/>
    <w:rsid w:val="001F3908"/>
    <w:rsid w:val="001F3F97"/>
    <w:rsid w:val="001F51A6"/>
    <w:rsid w:val="001F5F49"/>
    <w:rsid w:val="001F5FD1"/>
    <w:rsid w:val="001F5FE2"/>
    <w:rsid w:val="001F787E"/>
    <w:rsid w:val="00202B15"/>
    <w:rsid w:val="00203988"/>
    <w:rsid w:val="002047C4"/>
    <w:rsid w:val="00206581"/>
    <w:rsid w:val="00206F53"/>
    <w:rsid w:val="00206F82"/>
    <w:rsid w:val="0020708E"/>
    <w:rsid w:val="00207104"/>
    <w:rsid w:val="00210991"/>
    <w:rsid w:val="00210D61"/>
    <w:rsid w:val="00211448"/>
    <w:rsid w:val="002127F0"/>
    <w:rsid w:val="00213627"/>
    <w:rsid w:val="00214616"/>
    <w:rsid w:val="00215BD7"/>
    <w:rsid w:val="00216D69"/>
    <w:rsid w:val="002207D9"/>
    <w:rsid w:val="002217C5"/>
    <w:rsid w:val="002258B3"/>
    <w:rsid w:val="00225A20"/>
    <w:rsid w:val="00226217"/>
    <w:rsid w:val="002265BF"/>
    <w:rsid w:val="0022688B"/>
    <w:rsid w:val="00226EAA"/>
    <w:rsid w:val="00230D4D"/>
    <w:rsid w:val="00231591"/>
    <w:rsid w:val="00231CE5"/>
    <w:rsid w:val="00232B1B"/>
    <w:rsid w:val="0023680B"/>
    <w:rsid w:val="0023741B"/>
    <w:rsid w:val="00237BDE"/>
    <w:rsid w:val="002401F5"/>
    <w:rsid w:val="00244265"/>
    <w:rsid w:val="00245DA1"/>
    <w:rsid w:val="00247B8F"/>
    <w:rsid w:val="00252203"/>
    <w:rsid w:val="00252BD1"/>
    <w:rsid w:val="00252BE0"/>
    <w:rsid w:val="00253AAB"/>
    <w:rsid w:val="00254F1E"/>
    <w:rsid w:val="002557D3"/>
    <w:rsid w:val="00255BA1"/>
    <w:rsid w:val="00256493"/>
    <w:rsid w:val="00257838"/>
    <w:rsid w:val="002602E5"/>
    <w:rsid w:val="002613D0"/>
    <w:rsid w:val="00262324"/>
    <w:rsid w:val="002623FC"/>
    <w:rsid w:val="00263740"/>
    <w:rsid w:val="00264359"/>
    <w:rsid w:val="0026539E"/>
    <w:rsid w:val="002654B1"/>
    <w:rsid w:val="00266815"/>
    <w:rsid w:val="00267185"/>
    <w:rsid w:val="00270835"/>
    <w:rsid w:val="00270C61"/>
    <w:rsid w:val="00270F4F"/>
    <w:rsid w:val="00272CF1"/>
    <w:rsid w:val="00273896"/>
    <w:rsid w:val="00276203"/>
    <w:rsid w:val="002773DA"/>
    <w:rsid w:val="0027779D"/>
    <w:rsid w:val="002778F9"/>
    <w:rsid w:val="00277BFA"/>
    <w:rsid w:val="00277EE9"/>
    <w:rsid w:val="00281D22"/>
    <w:rsid w:val="00282586"/>
    <w:rsid w:val="002836E0"/>
    <w:rsid w:val="00285458"/>
    <w:rsid w:val="00285E00"/>
    <w:rsid w:val="002862EF"/>
    <w:rsid w:val="002913F3"/>
    <w:rsid w:val="002951AA"/>
    <w:rsid w:val="0029576E"/>
    <w:rsid w:val="0029682B"/>
    <w:rsid w:val="00297548"/>
    <w:rsid w:val="002976FF"/>
    <w:rsid w:val="002A0E34"/>
    <w:rsid w:val="002A1ED9"/>
    <w:rsid w:val="002A3133"/>
    <w:rsid w:val="002A3CA1"/>
    <w:rsid w:val="002A6794"/>
    <w:rsid w:val="002B21FA"/>
    <w:rsid w:val="002B35B3"/>
    <w:rsid w:val="002B39D4"/>
    <w:rsid w:val="002B3F01"/>
    <w:rsid w:val="002B4646"/>
    <w:rsid w:val="002B5162"/>
    <w:rsid w:val="002B5C58"/>
    <w:rsid w:val="002B71A2"/>
    <w:rsid w:val="002C0CC9"/>
    <w:rsid w:val="002C1168"/>
    <w:rsid w:val="002C2980"/>
    <w:rsid w:val="002C32BB"/>
    <w:rsid w:val="002C4932"/>
    <w:rsid w:val="002C65B5"/>
    <w:rsid w:val="002C79A7"/>
    <w:rsid w:val="002C7DE1"/>
    <w:rsid w:val="002D117B"/>
    <w:rsid w:val="002D25F1"/>
    <w:rsid w:val="002D2FE3"/>
    <w:rsid w:val="002D54F9"/>
    <w:rsid w:val="002D5FC3"/>
    <w:rsid w:val="002D6C22"/>
    <w:rsid w:val="002D6F18"/>
    <w:rsid w:val="002D79C9"/>
    <w:rsid w:val="002E341B"/>
    <w:rsid w:val="002E5B8C"/>
    <w:rsid w:val="002E5FBC"/>
    <w:rsid w:val="002F048E"/>
    <w:rsid w:val="002F1793"/>
    <w:rsid w:val="002F25B7"/>
    <w:rsid w:val="002F2610"/>
    <w:rsid w:val="002F4681"/>
    <w:rsid w:val="002F5D81"/>
    <w:rsid w:val="002F61CC"/>
    <w:rsid w:val="002F68E7"/>
    <w:rsid w:val="0030148B"/>
    <w:rsid w:val="0030218A"/>
    <w:rsid w:val="0030315D"/>
    <w:rsid w:val="00303DFE"/>
    <w:rsid w:val="00306399"/>
    <w:rsid w:val="00307413"/>
    <w:rsid w:val="00307E86"/>
    <w:rsid w:val="00310001"/>
    <w:rsid w:val="003103C9"/>
    <w:rsid w:val="003136AE"/>
    <w:rsid w:val="00314640"/>
    <w:rsid w:val="00314AA5"/>
    <w:rsid w:val="00315D7F"/>
    <w:rsid w:val="00316867"/>
    <w:rsid w:val="0031787D"/>
    <w:rsid w:val="00317ED3"/>
    <w:rsid w:val="00322AF6"/>
    <w:rsid w:val="00323300"/>
    <w:rsid w:val="00324923"/>
    <w:rsid w:val="003334FA"/>
    <w:rsid w:val="00333F9E"/>
    <w:rsid w:val="00334572"/>
    <w:rsid w:val="003350C9"/>
    <w:rsid w:val="0033588F"/>
    <w:rsid w:val="0033674F"/>
    <w:rsid w:val="00336D22"/>
    <w:rsid w:val="003374D1"/>
    <w:rsid w:val="0033759D"/>
    <w:rsid w:val="00337BDF"/>
    <w:rsid w:val="0034154F"/>
    <w:rsid w:val="00345048"/>
    <w:rsid w:val="0034720E"/>
    <w:rsid w:val="0034769E"/>
    <w:rsid w:val="00351AF6"/>
    <w:rsid w:val="00351D82"/>
    <w:rsid w:val="00352859"/>
    <w:rsid w:val="003531A9"/>
    <w:rsid w:val="00353639"/>
    <w:rsid w:val="00353DA8"/>
    <w:rsid w:val="0035471A"/>
    <w:rsid w:val="003547C0"/>
    <w:rsid w:val="00354CD4"/>
    <w:rsid w:val="00360217"/>
    <w:rsid w:val="00360223"/>
    <w:rsid w:val="003618C2"/>
    <w:rsid w:val="00363706"/>
    <w:rsid w:val="003639FB"/>
    <w:rsid w:val="00364339"/>
    <w:rsid w:val="0036457B"/>
    <w:rsid w:val="00366251"/>
    <w:rsid w:val="003666D1"/>
    <w:rsid w:val="00367119"/>
    <w:rsid w:val="003678A1"/>
    <w:rsid w:val="00370084"/>
    <w:rsid w:val="003703DB"/>
    <w:rsid w:val="003704FA"/>
    <w:rsid w:val="00372149"/>
    <w:rsid w:val="00372C28"/>
    <w:rsid w:val="0037320C"/>
    <w:rsid w:val="00373440"/>
    <w:rsid w:val="00373654"/>
    <w:rsid w:val="00373880"/>
    <w:rsid w:val="00374154"/>
    <w:rsid w:val="00377A57"/>
    <w:rsid w:val="00377B58"/>
    <w:rsid w:val="00382815"/>
    <w:rsid w:val="003840DD"/>
    <w:rsid w:val="00384C5E"/>
    <w:rsid w:val="003850FF"/>
    <w:rsid w:val="00385F48"/>
    <w:rsid w:val="003875CA"/>
    <w:rsid w:val="00391935"/>
    <w:rsid w:val="00391D46"/>
    <w:rsid w:val="00392308"/>
    <w:rsid w:val="00393447"/>
    <w:rsid w:val="00396B42"/>
    <w:rsid w:val="003970C5"/>
    <w:rsid w:val="0039712A"/>
    <w:rsid w:val="003974CD"/>
    <w:rsid w:val="0039759B"/>
    <w:rsid w:val="003978BA"/>
    <w:rsid w:val="00397BF8"/>
    <w:rsid w:val="003A02A1"/>
    <w:rsid w:val="003A10E5"/>
    <w:rsid w:val="003A339F"/>
    <w:rsid w:val="003A4E1F"/>
    <w:rsid w:val="003A5554"/>
    <w:rsid w:val="003A5DD4"/>
    <w:rsid w:val="003A5DD6"/>
    <w:rsid w:val="003A5FE4"/>
    <w:rsid w:val="003A6F59"/>
    <w:rsid w:val="003A7302"/>
    <w:rsid w:val="003A7C91"/>
    <w:rsid w:val="003B1258"/>
    <w:rsid w:val="003B1B26"/>
    <w:rsid w:val="003B28A1"/>
    <w:rsid w:val="003B3683"/>
    <w:rsid w:val="003B57F4"/>
    <w:rsid w:val="003B65F3"/>
    <w:rsid w:val="003B753A"/>
    <w:rsid w:val="003C0C36"/>
    <w:rsid w:val="003C1910"/>
    <w:rsid w:val="003C412E"/>
    <w:rsid w:val="003C5DA3"/>
    <w:rsid w:val="003C7814"/>
    <w:rsid w:val="003C7DE1"/>
    <w:rsid w:val="003C7FC2"/>
    <w:rsid w:val="003D0245"/>
    <w:rsid w:val="003D02DD"/>
    <w:rsid w:val="003D18F0"/>
    <w:rsid w:val="003D1E38"/>
    <w:rsid w:val="003D23A9"/>
    <w:rsid w:val="003D58B9"/>
    <w:rsid w:val="003D6187"/>
    <w:rsid w:val="003D7A7C"/>
    <w:rsid w:val="003E0B86"/>
    <w:rsid w:val="003E2223"/>
    <w:rsid w:val="003E49F3"/>
    <w:rsid w:val="003E53EF"/>
    <w:rsid w:val="003E583F"/>
    <w:rsid w:val="003E5A67"/>
    <w:rsid w:val="003E604C"/>
    <w:rsid w:val="003E706C"/>
    <w:rsid w:val="003E7AC8"/>
    <w:rsid w:val="003F115D"/>
    <w:rsid w:val="003F1253"/>
    <w:rsid w:val="003F1BEE"/>
    <w:rsid w:val="003F2822"/>
    <w:rsid w:val="003F31EE"/>
    <w:rsid w:val="003F66AA"/>
    <w:rsid w:val="003F7CDE"/>
    <w:rsid w:val="003F7E02"/>
    <w:rsid w:val="004001DC"/>
    <w:rsid w:val="00400550"/>
    <w:rsid w:val="00400E34"/>
    <w:rsid w:val="00401C29"/>
    <w:rsid w:val="00402A74"/>
    <w:rsid w:val="00404534"/>
    <w:rsid w:val="00405A20"/>
    <w:rsid w:val="00405E77"/>
    <w:rsid w:val="0040693E"/>
    <w:rsid w:val="00406A07"/>
    <w:rsid w:val="00406B64"/>
    <w:rsid w:val="004126E9"/>
    <w:rsid w:val="00413DA5"/>
    <w:rsid w:val="00413FE9"/>
    <w:rsid w:val="0041659E"/>
    <w:rsid w:val="00421572"/>
    <w:rsid w:val="00421B31"/>
    <w:rsid w:val="00422461"/>
    <w:rsid w:val="00422D2F"/>
    <w:rsid w:val="00423D14"/>
    <w:rsid w:val="00424FD5"/>
    <w:rsid w:val="00425ABA"/>
    <w:rsid w:val="004263AB"/>
    <w:rsid w:val="00430542"/>
    <w:rsid w:val="004305E9"/>
    <w:rsid w:val="004309C4"/>
    <w:rsid w:val="00430CBB"/>
    <w:rsid w:val="00431C8F"/>
    <w:rsid w:val="00432131"/>
    <w:rsid w:val="0043278D"/>
    <w:rsid w:val="0043279F"/>
    <w:rsid w:val="00432CAA"/>
    <w:rsid w:val="00433A19"/>
    <w:rsid w:val="00435E1C"/>
    <w:rsid w:val="004371E3"/>
    <w:rsid w:val="00441843"/>
    <w:rsid w:val="004428A5"/>
    <w:rsid w:val="00442BCB"/>
    <w:rsid w:val="00445984"/>
    <w:rsid w:val="004502EE"/>
    <w:rsid w:val="00450FF4"/>
    <w:rsid w:val="00452114"/>
    <w:rsid w:val="00456672"/>
    <w:rsid w:val="00461294"/>
    <w:rsid w:val="0046140A"/>
    <w:rsid w:val="0046253C"/>
    <w:rsid w:val="00464489"/>
    <w:rsid w:val="00465D04"/>
    <w:rsid w:val="00470B51"/>
    <w:rsid w:val="004724C1"/>
    <w:rsid w:val="004728AC"/>
    <w:rsid w:val="00475852"/>
    <w:rsid w:val="00476E1C"/>
    <w:rsid w:val="0048081D"/>
    <w:rsid w:val="004836FF"/>
    <w:rsid w:val="00483C32"/>
    <w:rsid w:val="00485901"/>
    <w:rsid w:val="00493EF2"/>
    <w:rsid w:val="00495ADA"/>
    <w:rsid w:val="00497057"/>
    <w:rsid w:val="00497151"/>
    <w:rsid w:val="004A16CE"/>
    <w:rsid w:val="004A3215"/>
    <w:rsid w:val="004A6BAA"/>
    <w:rsid w:val="004A6F9B"/>
    <w:rsid w:val="004B0BCF"/>
    <w:rsid w:val="004B18DC"/>
    <w:rsid w:val="004B1B08"/>
    <w:rsid w:val="004B1B7E"/>
    <w:rsid w:val="004B3B8B"/>
    <w:rsid w:val="004B3C96"/>
    <w:rsid w:val="004B4C30"/>
    <w:rsid w:val="004B6A22"/>
    <w:rsid w:val="004C0138"/>
    <w:rsid w:val="004C04B5"/>
    <w:rsid w:val="004C3CD7"/>
    <w:rsid w:val="004C61E1"/>
    <w:rsid w:val="004D079D"/>
    <w:rsid w:val="004D0A84"/>
    <w:rsid w:val="004D2746"/>
    <w:rsid w:val="004D2E44"/>
    <w:rsid w:val="004D3FA1"/>
    <w:rsid w:val="004D42F7"/>
    <w:rsid w:val="004D4896"/>
    <w:rsid w:val="004D4F1D"/>
    <w:rsid w:val="004D5680"/>
    <w:rsid w:val="004D6B28"/>
    <w:rsid w:val="004D7AFD"/>
    <w:rsid w:val="004E2596"/>
    <w:rsid w:val="004E2BB9"/>
    <w:rsid w:val="004E3077"/>
    <w:rsid w:val="004E35DA"/>
    <w:rsid w:val="004E3634"/>
    <w:rsid w:val="004E37EE"/>
    <w:rsid w:val="004E650F"/>
    <w:rsid w:val="004F00F3"/>
    <w:rsid w:val="004F069A"/>
    <w:rsid w:val="004F0EF9"/>
    <w:rsid w:val="004F22CC"/>
    <w:rsid w:val="004F243C"/>
    <w:rsid w:val="004F2C6E"/>
    <w:rsid w:val="004F31BF"/>
    <w:rsid w:val="004F36FF"/>
    <w:rsid w:val="004F3BD8"/>
    <w:rsid w:val="004F48C5"/>
    <w:rsid w:val="004F521D"/>
    <w:rsid w:val="004F5760"/>
    <w:rsid w:val="004F7FD9"/>
    <w:rsid w:val="00501A91"/>
    <w:rsid w:val="005053F4"/>
    <w:rsid w:val="00505AC7"/>
    <w:rsid w:val="00505DDE"/>
    <w:rsid w:val="005066BF"/>
    <w:rsid w:val="00506ECD"/>
    <w:rsid w:val="00507549"/>
    <w:rsid w:val="005079BC"/>
    <w:rsid w:val="0051048F"/>
    <w:rsid w:val="00510EA6"/>
    <w:rsid w:val="00511991"/>
    <w:rsid w:val="00511CB2"/>
    <w:rsid w:val="0051394C"/>
    <w:rsid w:val="00514D4F"/>
    <w:rsid w:val="005153D2"/>
    <w:rsid w:val="00517D93"/>
    <w:rsid w:val="005222E5"/>
    <w:rsid w:val="00522A4E"/>
    <w:rsid w:val="0052366F"/>
    <w:rsid w:val="0052522B"/>
    <w:rsid w:val="00526495"/>
    <w:rsid w:val="00526934"/>
    <w:rsid w:val="00530116"/>
    <w:rsid w:val="005352A2"/>
    <w:rsid w:val="00535E9B"/>
    <w:rsid w:val="00536CEF"/>
    <w:rsid w:val="00537AE2"/>
    <w:rsid w:val="0054031D"/>
    <w:rsid w:val="005406FE"/>
    <w:rsid w:val="00540964"/>
    <w:rsid w:val="005409BC"/>
    <w:rsid w:val="00540CDF"/>
    <w:rsid w:val="00541E93"/>
    <w:rsid w:val="0054238B"/>
    <w:rsid w:val="00543CA9"/>
    <w:rsid w:val="00543DAE"/>
    <w:rsid w:val="00544037"/>
    <w:rsid w:val="00544D18"/>
    <w:rsid w:val="00546042"/>
    <w:rsid w:val="00547D10"/>
    <w:rsid w:val="00547FEB"/>
    <w:rsid w:val="0055021B"/>
    <w:rsid w:val="00551DE2"/>
    <w:rsid w:val="005526DA"/>
    <w:rsid w:val="005542E7"/>
    <w:rsid w:val="00554450"/>
    <w:rsid w:val="00554C9D"/>
    <w:rsid w:val="00555407"/>
    <w:rsid w:val="00555971"/>
    <w:rsid w:val="0055683D"/>
    <w:rsid w:val="00556D87"/>
    <w:rsid w:val="005604A6"/>
    <w:rsid w:val="00561723"/>
    <w:rsid w:val="005619CA"/>
    <w:rsid w:val="00562B54"/>
    <w:rsid w:val="00563489"/>
    <w:rsid w:val="005654E4"/>
    <w:rsid w:val="005666B7"/>
    <w:rsid w:val="005705DF"/>
    <w:rsid w:val="00571A0F"/>
    <w:rsid w:val="005729CE"/>
    <w:rsid w:val="00574F9C"/>
    <w:rsid w:val="00580D47"/>
    <w:rsid w:val="00582E47"/>
    <w:rsid w:val="00583B27"/>
    <w:rsid w:val="00586C3E"/>
    <w:rsid w:val="005870F9"/>
    <w:rsid w:val="00590512"/>
    <w:rsid w:val="00593886"/>
    <w:rsid w:val="00593C47"/>
    <w:rsid w:val="00594EE4"/>
    <w:rsid w:val="00595A01"/>
    <w:rsid w:val="005A0327"/>
    <w:rsid w:val="005A0D25"/>
    <w:rsid w:val="005A1593"/>
    <w:rsid w:val="005A17C7"/>
    <w:rsid w:val="005A23E6"/>
    <w:rsid w:val="005A2F7F"/>
    <w:rsid w:val="005A5D25"/>
    <w:rsid w:val="005A67B6"/>
    <w:rsid w:val="005A69DB"/>
    <w:rsid w:val="005B25EC"/>
    <w:rsid w:val="005B2D4F"/>
    <w:rsid w:val="005B2F41"/>
    <w:rsid w:val="005B57C5"/>
    <w:rsid w:val="005B59C5"/>
    <w:rsid w:val="005B5C15"/>
    <w:rsid w:val="005B6274"/>
    <w:rsid w:val="005B780A"/>
    <w:rsid w:val="005C3166"/>
    <w:rsid w:val="005C4AE2"/>
    <w:rsid w:val="005C6C2D"/>
    <w:rsid w:val="005C76AC"/>
    <w:rsid w:val="005D059C"/>
    <w:rsid w:val="005D0965"/>
    <w:rsid w:val="005D12FA"/>
    <w:rsid w:val="005D1912"/>
    <w:rsid w:val="005D2CF4"/>
    <w:rsid w:val="005D46A8"/>
    <w:rsid w:val="005D536D"/>
    <w:rsid w:val="005D6B07"/>
    <w:rsid w:val="005D6BC6"/>
    <w:rsid w:val="005D7089"/>
    <w:rsid w:val="005D752F"/>
    <w:rsid w:val="005E0FDE"/>
    <w:rsid w:val="005E1563"/>
    <w:rsid w:val="005E1F40"/>
    <w:rsid w:val="005E21E2"/>
    <w:rsid w:val="005E29C6"/>
    <w:rsid w:val="005E69C4"/>
    <w:rsid w:val="005E794B"/>
    <w:rsid w:val="005F0845"/>
    <w:rsid w:val="005F3B75"/>
    <w:rsid w:val="005F4A45"/>
    <w:rsid w:val="005F4C2E"/>
    <w:rsid w:val="005F627F"/>
    <w:rsid w:val="005F7297"/>
    <w:rsid w:val="005F730B"/>
    <w:rsid w:val="005F7D1B"/>
    <w:rsid w:val="00600F0E"/>
    <w:rsid w:val="00601F24"/>
    <w:rsid w:val="00602DEB"/>
    <w:rsid w:val="00602F20"/>
    <w:rsid w:val="00603829"/>
    <w:rsid w:val="00604B51"/>
    <w:rsid w:val="00604C54"/>
    <w:rsid w:val="006055A8"/>
    <w:rsid w:val="006075F3"/>
    <w:rsid w:val="006113D7"/>
    <w:rsid w:val="00611A92"/>
    <w:rsid w:val="00612F3B"/>
    <w:rsid w:val="006132C5"/>
    <w:rsid w:val="006159F7"/>
    <w:rsid w:val="006220BE"/>
    <w:rsid w:val="00623188"/>
    <w:rsid w:val="00624F8D"/>
    <w:rsid w:val="0062525D"/>
    <w:rsid w:val="006262C7"/>
    <w:rsid w:val="0062686B"/>
    <w:rsid w:val="006275FC"/>
    <w:rsid w:val="00630ACA"/>
    <w:rsid w:val="00630C0D"/>
    <w:rsid w:val="006311CB"/>
    <w:rsid w:val="006314D9"/>
    <w:rsid w:val="006318B3"/>
    <w:rsid w:val="00631E18"/>
    <w:rsid w:val="00632BCA"/>
    <w:rsid w:val="006338D8"/>
    <w:rsid w:val="00634E4C"/>
    <w:rsid w:val="00634FDB"/>
    <w:rsid w:val="00636CD0"/>
    <w:rsid w:val="0064104B"/>
    <w:rsid w:val="00641248"/>
    <w:rsid w:val="0064230A"/>
    <w:rsid w:val="00642A0E"/>
    <w:rsid w:val="00644A77"/>
    <w:rsid w:val="00645282"/>
    <w:rsid w:val="00647A3D"/>
    <w:rsid w:val="00647BB0"/>
    <w:rsid w:val="0065118A"/>
    <w:rsid w:val="00652E8D"/>
    <w:rsid w:val="0065305E"/>
    <w:rsid w:val="00653CB1"/>
    <w:rsid w:val="00654A6B"/>
    <w:rsid w:val="00654A92"/>
    <w:rsid w:val="0065778E"/>
    <w:rsid w:val="00660C3C"/>
    <w:rsid w:val="0066201A"/>
    <w:rsid w:val="0066207E"/>
    <w:rsid w:val="00662D90"/>
    <w:rsid w:val="00663ED0"/>
    <w:rsid w:val="00667C25"/>
    <w:rsid w:val="00667C40"/>
    <w:rsid w:val="0067380F"/>
    <w:rsid w:val="006744EC"/>
    <w:rsid w:val="00675EB3"/>
    <w:rsid w:val="00675EB4"/>
    <w:rsid w:val="00677CA5"/>
    <w:rsid w:val="006835A6"/>
    <w:rsid w:val="00690025"/>
    <w:rsid w:val="006906C3"/>
    <w:rsid w:val="00690838"/>
    <w:rsid w:val="0069331D"/>
    <w:rsid w:val="00695681"/>
    <w:rsid w:val="00695DC7"/>
    <w:rsid w:val="00695EC1"/>
    <w:rsid w:val="00696844"/>
    <w:rsid w:val="0069719E"/>
    <w:rsid w:val="00697A3D"/>
    <w:rsid w:val="006A1B4B"/>
    <w:rsid w:val="006A2B9D"/>
    <w:rsid w:val="006A318F"/>
    <w:rsid w:val="006A319B"/>
    <w:rsid w:val="006A334C"/>
    <w:rsid w:val="006A3F9A"/>
    <w:rsid w:val="006A4758"/>
    <w:rsid w:val="006B3C1E"/>
    <w:rsid w:val="006B4680"/>
    <w:rsid w:val="006B6F17"/>
    <w:rsid w:val="006C21B3"/>
    <w:rsid w:val="006C4B3F"/>
    <w:rsid w:val="006C4DCB"/>
    <w:rsid w:val="006C4E00"/>
    <w:rsid w:val="006C5819"/>
    <w:rsid w:val="006C625A"/>
    <w:rsid w:val="006D0E6F"/>
    <w:rsid w:val="006D11A2"/>
    <w:rsid w:val="006D1B49"/>
    <w:rsid w:val="006D2321"/>
    <w:rsid w:val="006D3112"/>
    <w:rsid w:val="006D4A2C"/>
    <w:rsid w:val="006D5099"/>
    <w:rsid w:val="006D7185"/>
    <w:rsid w:val="006D7458"/>
    <w:rsid w:val="006D7DB0"/>
    <w:rsid w:val="006E0548"/>
    <w:rsid w:val="006E2032"/>
    <w:rsid w:val="006E3EC4"/>
    <w:rsid w:val="006E6761"/>
    <w:rsid w:val="006E6788"/>
    <w:rsid w:val="006E75E8"/>
    <w:rsid w:val="006F0B2A"/>
    <w:rsid w:val="006F381C"/>
    <w:rsid w:val="006F4BAA"/>
    <w:rsid w:val="006F5002"/>
    <w:rsid w:val="006F729C"/>
    <w:rsid w:val="006F7745"/>
    <w:rsid w:val="0070035F"/>
    <w:rsid w:val="00702A85"/>
    <w:rsid w:val="00703850"/>
    <w:rsid w:val="00704DA2"/>
    <w:rsid w:val="007077DD"/>
    <w:rsid w:val="00707F8F"/>
    <w:rsid w:val="007112F7"/>
    <w:rsid w:val="007116F6"/>
    <w:rsid w:val="00711D88"/>
    <w:rsid w:val="0071320E"/>
    <w:rsid w:val="007149D3"/>
    <w:rsid w:val="00714FFB"/>
    <w:rsid w:val="007153A0"/>
    <w:rsid w:val="00715AE2"/>
    <w:rsid w:val="00721B81"/>
    <w:rsid w:val="00721EF7"/>
    <w:rsid w:val="0072353C"/>
    <w:rsid w:val="00724078"/>
    <w:rsid w:val="00724C8B"/>
    <w:rsid w:val="007268A3"/>
    <w:rsid w:val="00726907"/>
    <w:rsid w:val="0072793B"/>
    <w:rsid w:val="00731114"/>
    <w:rsid w:val="007318F0"/>
    <w:rsid w:val="00732117"/>
    <w:rsid w:val="00735B3B"/>
    <w:rsid w:val="00735DFB"/>
    <w:rsid w:val="00735E7B"/>
    <w:rsid w:val="00736C84"/>
    <w:rsid w:val="00737A8B"/>
    <w:rsid w:val="00740782"/>
    <w:rsid w:val="00742C34"/>
    <w:rsid w:val="00743581"/>
    <w:rsid w:val="00743DD9"/>
    <w:rsid w:val="00745F67"/>
    <w:rsid w:val="00746411"/>
    <w:rsid w:val="007464A8"/>
    <w:rsid w:val="00750D3E"/>
    <w:rsid w:val="007536E9"/>
    <w:rsid w:val="007547C8"/>
    <w:rsid w:val="00754F34"/>
    <w:rsid w:val="00757872"/>
    <w:rsid w:val="00757A0A"/>
    <w:rsid w:val="00761500"/>
    <w:rsid w:val="00762DE8"/>
    <w:rsid w:val="00766E07"/>
    <w:rsid w:val="00770D20"/>
    <w:rsid w:val="0077132E"/>
    <w:rsid w:val="00771E08"/>
    <w:rsid w:val="00773625"/>
    <w:rsid w:val="0077549F"/>
    <w:rsid w:val="007771C4"/>
    <w:rsid w:val="0077732A"/>
    <w:rsid w:val="0077783C"/>
    <w:rsid w:val="00777BBD"/>
    <w:rsid w:val="00780042"/>
    <w:rsid w:val="00781A4D"/>
    <w:rsid w:val="00782B8C"/>
    <w:rsid w:val="00786877"/>
    <w:rsid w:val="00790865"/>
    <w:rsid w:val="00790AEA"/>
    <w:rsid w:val="007922C9"/>
    <w:rsid w:val="007945D2"/>
    <w:rsid w:val="00795612"/>
    <w:rsid w:val="00797EAD"/>
    <w:rsid w:val="007A0CDE"/>
    <w:rsid w:val="007A3553"/>
    <w:rsid w:val="007A38E9"/>
    <w:rsid w:val="007A42E3"/>
    <w:rsid w:val="007A46A9"/>
    <w:rsid w:val="007A4941"/>
    <w:rsid w:val="007A4A15"/>
    <w:rsid w:val="007A4D2C"/>
    <w:rsid w:val="007A52F5"/>
    <w:rsid w:val="007A59C1"/>
    <w:rsid w:val="007A5ABD"/>
    <w:rsid w:val="007A5C47"/>
    <w:rsid w:val="007A66F3"/>
    <w:rsid w:val="007A6BC6"/>
    <w:rsid w:val="007B1253"/>
    <w:rsid w:val="007B2486"/>
    <w:rsid w:val="007B3D24"/>
    <w:rsid w:val="007B48C1"/>
    <w:rsid w:val="007B5654"/>
    <w:rsid w:val="007B67E2"/>
    <w:rsid w:val="007C250C"/>
    <w:rsid w:val="007C2CC7"/>
    <w:rsid w:val="007C41FB"/>
    <w:rsid w:val="007C4D58"/>
    <w:rsid w:val="007C50B6"/>
    <w:rsid w:val="007C747C"/>
    <w:rsid w:val="007C74C7"/>
    <w:rsid w:val="007D2BF7"/>
    <w:rsid w:val="007D4F14"/>
    <w:rsid w:val="007D5023"/>
    <w:rsid w:val="007D581C"/>
    <w:rsid w:val="007D641E"/>
    <w:rsid w:val="007D663E"/>
    <w:rsid w:val="007D6AED"/>
    <w:rsid w:val="007D6EFA"/>
    <w:rsid w:val="007D7D66"/>
    <w:rsid w:val="007E0B76"/>
    <w:rsid w:val="007E1A26"/>
    <w:rsid w:val="007E202C"/>
    <w:rsid w:val="007E2A49"/>
    <w:rsid w:val="007E2D71"/>
    <w:rsid w:val="007E3871"/>
    <w:rsid w:val="007E431B"/>
    <w:rsid w:val="007F5FBE"/>
    <w:rsid w:val="007F6925"/>
    <w:rsid w:val="007F76E4"/>
    <w:rsid w:val="00800D13"/>
    <w:rsid w:val="00800E39"/>
    <w:rsid w:val="00801D02"/>
    <w:rsid w:val="00803FAE"/>
    <w:rsid w:val="0080477C"/>
    <w:rsid w:val="00804C8D"/>
    <w:rsid w:val="00805DF6"/>
    <w:rsid w:val="008106D1"/>
    <w:rsid w:val="008108E0"/>
    <w:rsid w:val="0081362E"/>
    <w:rsid w:val="00814076"/>
    <w:rsid w:val="00814A1E"/>
    <w:rsid w:val="00814A4E"/>
    <w:rsid w:val="008169F8"/>
    <w:rsid w:val="00816C27"/>
    <w:rsid w:val="00817A5C"/>
    <w:rsid w:val="00817DF7"/>
    <w:rsid w:val="0082079D"/>
    <w:rsid w:val="0082198B"/>
    <w:rsid w:val="00821D41"/>
    <w:rsid w:val="00822DD2"/>
    <w:rsid w:val="00823FB8"/>
    <w:rsid w:val="008257A5"/>
    <w:rsid w:val="00825A90"/>
    <w:rsid w:val="00825CEF"/>
    <w:rsid w:val="00830841"/>
    <w:rsid w:val="008313EC"/>
    <w:rsid w:val="00831BF5"/>
    <w:rsid w:val="0083580C"/>
    <w:rsid w:val="008362D5"/>
    <w:rsid w:val="00836FE4"/>
    <w:rsid w:val="008377E9"/>
    <w:rsid w:val="00837D75"/>
    <w:rsid w:val="00840D85"/>
    <w:rsid w:val="008432E0"/>
    <w:rsid w:val="00844C61"/>
    <w:rsid w:val="0084658D"/>
    <w:rsid w:val="0084768D"/>
    <w:rsid w:val="008478D2"/>
    <w:rsid w:val="00850414"/>
    <w:rsid w:val="00852B67"/>
    <w:rsid w:val="00854525"/>
    <w:rsid w:val="00854D96"/>
    <w:rsid w:val="00854DD0"/>
    <w:rsid w:val="00855FBD"/>
    <w:rsid w:val="00864AE5"/>
    <w:rsid w:val="00864CA3"/>
    <w:rsid w:val="00865995"/>
    <w:rsid w:val="00866961"/>
    <w:rsid w:val="00866AE2"/>
    <w:rsid w:val="008701A6"/>
    <w:rsid w:val="00870862"/>
    <w:rsid w:val="00870C51"/>
    <w:rsid w:val="008715F4"/>
    <w:rsid w:val="0087229B"/>
    <w:rsid w:val="00872E99"/>
    <w:rsid w:val="00873374"/>
    <w:rsid w:val="00875891"/>
    <w:rsid w:val="00875AB9"/>
    <w:rsid w:val="008809B3"/>
    <w:rsid w:val="00880AC2"/>
    <w:rsid w:val="00881B12"/>
    <w:rsid w:val="00887958"/>
    <w:rsid w:val="00887D73"/>
    <w:rsid w:val="00894BE8"/>
    <w:rsid w:val="008A189E"/>
    <w:rsid w:val="008A34B0"/>
    <w:rsid w:val="008A7760"/>
    <w:rsid w:val="008B05CC"/>
    <w:rsid w:val="008B0D4F"/>
    <w:rsid w:val="008B14B3"/>
    <w:rsid w:val="008B5258"/>
    <w:rsid w:val="008B63E9"/>
    <w:rsid w:val="008B738B"/>
    <w:rsid w:val="008C0BF6"/>
    <w:rsid w:val="008C15AA"/>
    <w:rsid w:val="008C378C"/>
    <w:rsid w:val="008C3C34"/>
    <w:rsid w:val="008C5082"/>
    <w:rsid w:val="008C5A41"/>
    <w:rsid w:val="008C6016"/>
    <w:rsid w:val="008D0A58"/>
    <w:rsid w:val="008D0AE6"/>
    <w:rsid w:val="008D0E55"/>
    <w:rsid w:val="008D173A"/>
    <w:rsid w:val="008D191A"/>
    <w:rsid w:val="008D402D"/>
    <w:rsid w:val="008D4865"/>
    <w:rsid w:val="008D4E9D"/>
    <w:rsid w:val="008E0779"/>
    <w:rsid w:val="008E13BE"/>
    <w:rsid w:val="008E289E"/>
    <w:rsid w:val="008E3A24"/>
    <w:rsid w:val="008E41F2"/>
    <w:rsid w:val="008E5786"/>
    <w:rsid w:val="008E6B17"/>
    <w:rsid w:val="008E6D06"/>
    <w:rsid w:val="008E7267"/>
    <w:rsid w:val="008E7F61"/>
    <w:rsid w:val="008F0406"/>
    <w:rsid w:val="008F0B1E"/>
    <w:rsid w:val="008F0DE1"/>
    <w:rsid w:val="008F4BA9"/>
    <w:rsid w:val="008F6399"/>
    <w:rsid w:val="008F6EF2"/>
    <w:rsid w:val="008F6F6F"/>
    <w:rsid w:val="008F7691"/>
    <w:rsid w:val="00900E97"/>
    <w:rsid w:val="00901095"/>
    <w:rsid w:val="0090179F"/>
    <w:rsid w:val="00901D39"/>
    <w:rsid w:val="00903853"/>
    <w:rsid w:val="00904059"/>
    <w:rsid w:val="0090499E"/>
    <w:rsid w:val="009054C6"/>
    <w:rsid w:val="00905508"/>
    <w:rsid w:val="00906F4C"/>
    <w:rsid w:val="0091016E"/>
    <w:rsid w:val="00910E5F"/>
    <w:rsid w:val="00914721"/>
    <w:rsid w:val="00915AB5"/>
    <w:rsid w:val="009169CC"/>
    <w:rsid w:val="009177EA"/>
    <w:rsid w:val="00920884"/>
    <w:rsid w:val="00921446"/>
    <w:rsid w:val="00922133"/>
    <w:rsid w:val="00924269"/>
    <w:rsid w:val="00924487"/>
    <w:rsid w:val="00924C28"/>
    <w:rsid w:val="00924D2E"/>
    <w:rsid w:val="00925189"/>
    <w:rsid w:val="009255B5"/>
    <w:rsid w:val="00926DDD"/>
    <w:rsid w:val="00930BFB"/>
    <w:rsid w:val="00931AA4"/>
    <w:rsid w:val="00932CB2"/>
    <w:rsid w:val="0093304A"/>
    <w:rsid w:val="00934F71"/>
    <w:rsid w:val="00936481"/>
    <w:rsid w:val="00937250"/>
    <w:rsid w:val="009374F2"/>
    <w:rsid w:val="0093762D"/>
    <w:rsid w:val="00941DEC"/>
    <w:rsid w:val="00942067"/>
    <w:rsid w:val="00942169"/>
    <w:rsid w:val="009425F6"/>
    <w:rsid w:val="00943342"/>
    <w:rsid w:val="00945610"/>
    <w:rsid w:val="00946659"/>
    <w:rsid w:val="009474D8"/>
    <w:rsid w:val="00947FEF"/>
    <w:rsid w:val="00950E87"/>
    <w:rsid w:val="009514B2"/>
    <w:rsid w:val="009530B3"/>
    <w:rsid w:val="00953296"/>
    <w:rsid w:val="00954519"/>
    <w:rsid w:val="0095488C"/>
    <w:rsid w:val="00954EF6"/>
    <w:rsid w:val="00960FFF"/>
    <w:rsid w:val="00963D32"/>
    <w:rsid w:val="00963D6E"/>
    <w:rsid w:val="00964BE2"/>
    <w:rsid w:val="00965526"/>
    <w:rsid w:val="00967088"/>
    <w:rsid w:val="0097063A"/>
    <w:rsid w:val="0097508D"/>
    <w:rsid w:val="009802AB"/>
    <w:rsid w:val="0098082F"/>
    <w:rsid w:val="00980D47"/>
    <w:rsid w:val="00980F0E"/>
    <w:rsid w:val="009810F2"/>
    <w:rsid w:val="009815B7"/>
    <w:rsid w:val="0098745B"/>
    <w:rsid w:val="00987C4C"/>
    <w:rsid w:val="009912E5"/>
    <w:rsid w:val="0099171E"/>
    <w:rsid w:val="009918D0"/>
    <w:rsid w:val="0099409F"/>
    <w:rsid w:val="00995744"/>
    <w:rsid w:val="00995FD8"/>
    <w:rsid w:val="00996597"/>
    <w:rsid w:val="00996BEF"/>
    <w:rsid w:val="00997D3B"/>
    <w:rsid w:val="009A0524"/>
    <w:rsid w:val="009A1640"/>
    <w:rsid w:val="009A2AE1"/>
    <w:rsid w:val="009A3ABB"/>
    <w:rsid w:val="009A446D"/>
    <w:rsid w:val="009A6491"/>
    <w:rsid w:val="009B17A9"/>
    <w:rsid w:val="009B2715"/>
    <w:rsid w:val="009B7F74"/>
    <w:rsid w:val="009C0372"/>
    <w:rsid w:val="009C1867"/>
    <w:rsid w:val="009C2B17"/>
    <w:rsid w:val="009C4F43"/>
    <w:rsid w:val="009C5124"/>
    <w:rsid w:val="009C51EF"/>
    <w:rsid w:val="009C6B5C"/>
    <w:rsid w:val="009C6DAE"/>
    <w:rsid w:val="009D0C44"/>
    <w:rsid w:val="009D258A"/>
    <w:rsid w:val="009D48E7"/>
    <w:rsid w:val="009D6E8A"/>
    <w:rsid w:val="009E09F4"/>
    <w:rsid w:val="009E0AC4"/>
    <w:rsid w:val="009E15CB"/>
    <w:rsid w:val="009E18F0"/>
    <w:rsid w:val="009E1C92"/>
    <w:rsid w:val="009E5F57"/>
    <w:rsid w:val="009E6185"/>
    <w:rsid w:val="009E6405"/>
    <w:rsid w:val="009E6A97"/>
    <w:rsid w:val="009E7ECF"/>
    <w:rsid w:val="009F0509"/>
    <w:rsid w:val="009F1A23"/>
    <w:rsid w:val="009F32BA"/>
    <w:rsid w:val="009F6922"/>
    <w:rsid w:val="00A00D77"/>
    <w:rsid w:val="00A047FF"/>
    <w:rsid w:val="00A06399"/>
    <w:rsid w:val="00A0695F"/>
    <w:rsid w:val="00A1032E"/>
    <w:rsid w:val="00A1188B"/>
    <w:rsid w:val="00A12349"/>
    <w:rsid w:val="00A1243C"/>
    <w:rsid w:val="00A12972"/>
    <w:rsid w:val="00A138B6"/>
    <w:rsid w:val="00A14333"/>
    <w:rsid w:val="00A14E24"/>
    <w:rsid w:val="00A158EB"/>
    <w:rsid w:val="00A168AF"/>
    <w:rsid w:val="00A213C3"/>
    <w:rsid w:val="00A214A7"/>
    <w:rsid w:val="00A2209C"/>
    <w:rsid w:val="00A22A81"/>
    <w:rsid w:val="00A22FC2"/>
    <w:rsid w:val="00A2307E"/>
    <w:rsid w:val="00A24FA7"/>
    <w:rsid w:val="00A3065F"/>
    <w:rsid w:val="00A3082E"/>
    <w:rsid w:val="00A34BB7"/>
    <w:rsid w:val="00A35566"/>
    <w:rsid w:val="00A3659A"/>
    <w:rsid w:val="00A36C1E"/>
    <w:rsid w:val="00A374F6"/>
    <w:rsid w:val="00A4002D"/>
    <w:rsid w:val="00A401EE"/>
    <w:rsid w:val="00A414C0"/>
    <w:rsid w:val="00A43D10"/>
    <w:rsid w:val="00A444AF"/>
    <w:rsid w:val="00A44FEE"/>
    <w:rsid w:val="00A504D5"/>
    <w:rsid w:val="00A50A87"/>
    <w:rsid w:val="00A51122"/>
    <w:rsid w:val="00A5112D"/>
    <w:rsid w:val="00A51B91"/>
    <w:rsid w:val="00A52B96"/>
    <w:rsid w:val="00A53442"/>
    <w:rsid w:val="00A553C1"/>
    <w:rsid w:val="00A55B94"/>
    <w:rsid w:val="00A560C2"/>
    <w:rsid w:val="00A5671A"/>
    <w:rsid w:val="00A56BBA"/>
    <w:rsid w:val="00A56C32"/>
    <w:rsid w:val="00A617D4"/>
    <w:rsid w:val="00A62098"/>
    <w:rsid w:val="00A62212"/>
    <w:rsid w:val="00A63D6E"/>
    <w:rsid w:val="00A63F89"/>
    <w:rsid w:val="00A646EF"/>
    <w:rsid w:val="00A66954"/>
    <w:rsid w:val="00A67440"/>
    <w:rsid w:val="00A72390"/>
    <w:rsid w:val="00A726DF"/>
    <w:rsid w:val="00A75A23"/>
    <w:rsid w:val="00A75A3D"/>
    <w:rsid w:val="00A76D98"/>
    <w:rsid w:val="00A77C94"/>
    <w:rsid w:val="00A80080"/>
    <w:rsid w:val="00A80DC4"/>
    <w:rsid w:val="00A811C3"/>
    <w:rsid w:val="00A821E3"/>
    <w:rsid w:val="00A86458"/>
    <w:rsid w:val="00A87269"/>
    <w:rsid w:val="00A877BA"/>
    <w:rsid w:val="00A914EE"/>
    <w:rsid w:val="00A91992"/>
    <w:rsid w:val="00A92EBD"/>
    <w:rsid w:val="00A93D0E"/>
    <w:rsid w:val="00A94E4A"/>
    <w:rsid w:val="00A94FD4"/>
    <w:rsid w:val="00A96C2D"/>
    <w:rsid w:val="00A971C0"/>
    <w:rsid w:val="00A979A5"/>
    <w:rsid w:val="00AA0580"/>
    <w:rsid w:val="00AA089C"/>
    <w:rsid w:val="00AA1ACF"/>
    <w:rsid w:val="00AA2E5E"/>
    <w:rsid w:val="00AA4490"/>
    <w:rsid w:val="00AA4645"/>
    <w:rsid w:val="00AA6B17"/>
    <w:rsid w:val="00AA7E01"/>
    <w:rsid w:val="00AB03DB"/>
    <w:rsid w:val="00AB3CC5"/>
    <w:rsid w:val="00AB6331"/>
    <w:rsid w:val="00AB704B"/>
    <w:rsid w:val="00AB7D04"/>
    <w:rsid w:val="00AC38BE"/>
    <w:rsid w:val="00AC39B2"/>
    <w:rsid w:val="00AC3B78"/>
    <w:rsid w:val="00AC3E1B"/>
    <w:rsid w:val="00AC3F79"/>
    <w:rsid w:val="00AC5D4A"/>
    <w:rsid w:val="00AC7464"/>
    <w:rsid w:val="00AC7BA8"/>
    <w:rsid w:val="00AD297F"/>
    <w:rsid w:val="00AD36AE"/>
    <w:rsid w:val="00AD52CD"/>
    <w:rsid w:val="00AD54B7"/>
    <w:rsid w:val="00AD6B65"/>
    <w:rsid w:val="00AE045D"/>
    <w:rsid w:val="00AE07A6"/>
    <w:rsid w:val="00AE303D"/>
    <w:rsid w:val="00AE4AB2"/>
    <w:rsid w:val="00AE5023"/>
    <w:rsid w:val="00AE5288"/>
    <w:rsid w:val="00AE5C90"/>
    <w:rsid w:val="00AE6C10"/>
    <w:rsid w:val="00AF0276"/>
    <w:rsid w:val="00AF0FCE"/>
    <w:rsid w:val="00AF125F"/>
    <w:rsid w:val="00AF195F"/>
    <w:rsid w:val="00AF237C"/>
    <w:rsid w:val="00AF46DE"/>
    <w:rsid w:val="00AF4E1A"/>
    <w:rsid w:val="00AF5082"/>
    <w:rsid w:val="00AF5CAA"/>
    <w:rsid w:val="00B009C4"/>
    <w:rsid w:val="00B02CFE"/>
    <w:rsid w:val="00B02FF9"/>
    <w:rsid w:val="00B04073"/>
    <w:rsid w:val="00B04F0F"/>
    <w:rsid w:val="00B059FE"/>
    <w:rsid w:val="00B06EE5"/>
    <w:rsid w:val="00B1308D"/>
    <w:rsid w:val="00B130C3"/>
    <w:rsid w:val="00B13BF7"/>
    <w:rsid w:val="00B14108"/>
    <w:rsid w:val="00B14FD3"/>
    <w:rsid w:val="00B15E27"/>
    <w:rsid w:val="00B20CD2"/>
    <w:rsid w:val="00B21E0F"/>
    <w:rsid w:val="00B22A45"/>
    <w:rsid w:val="00B266FE"/>
    <w:rsid w:val="00B267E5"/>
    <w:rsid w:val="00B31867"/>
    <w:rsid w:val="00B32155"/>
    <w:rsid w:val="00B33F50"/>
    <w:rsid w:val="00B35694"/>
    <w:rsid w:val="00B35A64"/>
    <w:rsid w:val="00B35C00"/>
    <w:rsid w:val="00B35E00"/>
    <w:rsid w:val="00B3606F"/>
    <w:rsid w:val="00B41BC7"/>
    <w:rsid w:val="00B438F3"/>
    <w:rsid w:val="00B44050"/>
    <w:rsid w:val="00B449EB"/>
    <w:rsid w:val="00B4510A"/>
    <w:rsid w:val="00B45225"/>
    <w:rsid w:val="00B45842"/>
    <w:rsid w:val="00B4609A"/>
    <w:rsid w:val="00B510AE"/>
    <w:rsid w:val="00B512FB"/>
    <w:rsid w:val="00B51A44"/>
    <w:rsid w:val="00B51AFC"/>
    <w:rsid w:val="00B52B6F"/>
    <w:rsid w:val="00B53659"/>
    <w:rsid w:val="00B555D7"/>
    <w:rsid w:val="00B5767A"/>
    <w:rsid w:val="00B57D01"/>
    <w:rsid w:val="00B60176"/>
    <w:rsid w:val="00B61350"/>
    <w:rsid w:val="00B63957"/>
    <w:rsid w:val="00B63EC7"/>
    <w:rsid w:val="00B65ED3"/>
    <w:rsid w:val="00B66DF5"/>
    <w:rsid w:val="00B671A9"/>
    <w:rsid w:val="00B71ECC"/>
    <w:rsid w:val="00B72A68"/>
    <w:rsid w:val="00B7355B"/>
    <w:rsid w:val="00B747DC"/>
    <w:rsid w:val="00B779CD"/>
    <w:rsid w:val="00B77CA2"/>
    <w:rsid w:val="00B80239"/>
    <w:rsid w:val="00B82371"/>
    <w:rsid w:val="00B82C0A"/>
    <w:rsid w:val="00B84FEE"/>
    <w:rsid w:val="00B90428"/>
    <w:rsid w:val="00B92275"/>
    <w:rsid w:val="00B93BA0"/>
    <w:rsid w:val="00B93C9C"/>
    <w:rsid w:val="00B94673"/>
    <w:rsid w:val="00B959B4"/>
    <w:rsid w:val="00BA0783"/>
    <w:rsid w:val="00BA08A6"/>
    <w:rsid w:val="00BA1B98"/>
    <w:rsid w:val="00BA2735"/>
    <w:rsid w:val="00BA4F61"/>
    <w:rsid w:val="00BA50F6"/>
    <w:rsid w:val="00BA74A5"/>
    <w:rsid w:val="00BA7965"/>
    <w:rsid w:val="00BA7E9B"/>
    <w:rsid w:val="00BB1640"/>
    <w:rsid w:val="00BB188F"/>
    <w:rsid w:val="00BB2023"/>
    <w:rsid w:val="00BB2288"/>
    <w:rsid w:val="00BB249F"/>
    <w:rsid w:val="00BB43DD"/>
    <w:rsid w:val="00BB4749"/>
    <w:rsid w:val="00BB5205"/>
    <w:rsid w:val="00BC1397"/>
    <w:rsid w:val="00BC3463"/>
    <w:rsid w:val="00BC405C"/>
    <w:rsid w:val="00BC7A70"/>
    <w:rsid w:val="00BD02E3"/>
    <w:rsid w:val="00BD12F9"/>
    <w:rsid w:val="00BD1CBE"/>
    <w:rsid w:val="00BD25A7"/>
    <w:rsid w:val="00BD2DF0"/>
    <w:rsid w:val="00BD3BE8"/>
    <w:rsid w:val="00BD51FB"/>
    <w:rsid w:val="00BD6728"/>
    <w:rsid w:val="00BD7173"/>
    <w:rsid w:val="00BE0F49"/>
    <w:rsid w:val="00BE228B"/>
    <w:rsid w:val="00BE27E2"/>
    <w:rsid w:val="00BE2854"/>
    <w:rsid w:val="00BE2AA9"/>
    <w:rsid w:val="00BE388C"/>
    <w:rsid w:val="00BE3C5F"/>
    <w:rsid w:val="00BE4A51"/>
    <w:rsid w:val="00BE50F3"/>
    <w:rsid w:val="00BE6B63"/>
    <w:rsid w:val="00BE6B89"/>
    <w:rsid w:val="00BF09BB"/>
    <w:rsid w:val="00BF09E2"/>
    <w:rsid w:val="00BF0BC6"/>
    <w:rsid w:val="00BF1B1E"/>
    <w:rsid w:val="00BF2A67"/>
    <w:rsid w:val="00BF2BB7"/>
    <w:rsid w:val="00BF3A35"/>
    <w:rsid w:val="00BF5045"/>
    <w:rsid w:val="00BF787D"/>
    <w:rsid w:val="00BF7D0D"/>
    <w:rsid w:val="00C01D53"/>
    <w:rsid w:val="00C02E66"/>
    <w:rsid w:val="00C03337"/>
    <w:rsid w:val="00C055FB"/>
    <w:rsid w:val="00C067DF"/>
    <w:rsid w:val="00C111A1"/>
    <w:rsid w:val="00C1176F"/>
    <w:rsid w:val="00C1241E"/>
    <w:rsid w:val="00C12678"/>
    <w:rsid w:val="00C12976"/>
    <w:rsid w:val="00C14226"/>
    <w:rsid w:val="00C15FCB"/>
    <w:rsid w:val="00C16D5C"/>
    <w:rsid w:val="00C16FDA"/>
    <w:rsid w:val="00C17D52"/>
    <w:rsid w:val="00C2103D"/>
    <w:rsid w:val="00C22553"/>
    <w:rsid w:val="00C229FB"/>
    <w:rsid w:val="00C23368"/>
    <w:rsid w:val="00C268ED"/>
    <w:rsid w:val="00C31E00"/>
    <w:rsid w:val="00C34128"/>
    <w:rsid w:val="00C35881"/>
    <w:rsid w:val="00C36EB0"/>
    <w:rsid w:val="00C37DC3"/>
    <w:rsid w:val="00C4269B"/>
    <w:rsid w:val="00C43EDE"/>
    <w:rsid w:val="00C46210"/>
    <w:rsid w:val="00C50EFA"/>
    <w:rsid w:val="00C519A7"/>
    <w:rsid w:val="00C527C4"/>
    <w:rsid w:val="00C53007"/>
    <w:rsid w:val="00C532D1"/>
    <w:rsid w:val="00C5638B"/>
    <w:rsid w:val="00C61600"/>
    <w:rsid w:val="00C61D53"/>
    <w:rsid w:val="00C61E2C"/>
    <w:rsid w:val="00C622E9"/>
    <w:rsid w:val="00C63206"/>
    <w:rsid w:val="00C63811"/>
    <w:rsid w:val="00C63EC7"/>
    <w:rsid w:val="00C649B3"/>
    <w:rsid w:val="00C653EC"/>
    <w:rsid w:val="00C6795C"/>
    <w:rsid w:val="00C724F7"/>
    <w:rsid w:val="00C73059"/>
    <w:rsid w:val="00C750CD"/>
    <w:rsid w:val="00C77CE2"/>
    <w:rsid w:val="00C77CFD"/>
    <w:rsid w:val="00C80F75"/>
    <w:rsid w:val="00C82604"/>
    <w:rsid w:val="00C845F5"/>
    <w:rsid w:val="00C85431"/>
    <w:rsid w:val="00C8738C"/>
    <w:rsid w:val="00C87A98"/>
    <w:rsid w:val="00C90768"/>
    <w:rsid w:val="00C9372D"/>
    <w:rsid w:val="00C94380"/>
    <w:rsid w:val="00C9486B"/>
    <w:rsid w:val="00C967D6"/>
    <w:rsid w:val="00C969A2"/>
    <w:rsid w:val="00C971E9"/>
    <w:rsid w:val="00C972C0"/>
    <w:rsid w:val="00C97FDF"/>
    <w:rsid w:val="00CA03F5"/>
    <w:rsid w:val="00CA06F5"/>
    <w:rsid w:val="00CA0F35"/>
    <w:rsid w:val="00CA26F4"/>
    <w:rsid w:val="00CA2745"/>
    <w:rsid w:val="00CA2F50"/>
    <w:rsid w:val="00CA4A20"/>
    <w:rsid w:val="00CA4D79"/>
    <w:rsid w:val="00CA50A1"/>
    <w:rsid w:val="00CA55BB"/>
    <w:rsid w:val="00CA5708"/>
    <w:rsid w:val="00CA7B72"/>
    <w:rsid w:val="00CA7EFA"/>
    <w:rsid w:val="00CB0CA1"/>
    <w:rsid w:val="00CB2D80"/>
    <w:rsid w:val="00CB2EDF"/>
    <w:rsid w:val="00CB3987"/>
    <w:rsid w:val="00CC33DC"/>
    <w:rsid w:val="00CC3CF8"/>
    <w:rsid w:val="00CC6301"/>
    <w:rsid w:val="00CC6E48"/>
    <w:rsid w:val="00CD00B9"/>
    <w:rsid w:val="00CD0127"/>
    <w:rsid w:val="00CD08AD"/>
    <w:rsid w:val="00CD1518"/>
    <w:rsid w:val="00CD15F5"/>
    <w:rsid w:val="00CD17BF"/>
    <w:rsid w:val="00CD3B76"/>
    <w:rsid w:val="00CD4733"/>
    <w:rsid w:val="00CD4A4B"/>
    <w:rsid w:val="00CD575F"/>
    <w:rsid w:val="00CD5AD1"/>
    <w:rsid w:val="00CD5D52"/>
    <w:rsid w:val="00CD5DF9"/>
    <w:rsid w:val="00CD76FB"/>
    <w:rsid w:val="00CD7C2D"/>
    <w:rsid w:val="00CE00B0"/>
    <w:rsid w:val="00CE12ED"/>
    <w:rsid w:val="00CE1648"/>
    <w:rsid w:val="00CE1F32"/>
    <w:rsid w:val="00CE3F39"/>
    <w:rsid w:val="00CE4618"/>
    <w:rsid w:val="00CE4E35"/>
    <w:rsid w:val="00CE53B6"/>
    <w:rsid w:val="00CE5E81"/>
    <w:rsid w:val="00CE629D"/>
    <w:rsid w:val="00CE6CA4"/>
    <w:rsid w:val="00CE6FA4"/>
    <w:rsid w:val="00CF0140"/>
    <w:rsid w:val="00CF2389"/>
    <w:rsid w:val="00CF2707"/>
    <w:rsid w:val="00CF2CFA"/>
    <w:rsid w:val="00CF40CA"/>
    <w:rsid w:val="00CF5815"/>
    <w:rsid w:val="00CF7B7D"/>
    <w:rsid w:val="00D01744"/>
    <w:rsid w:val="00D01D4D"/>
    <w:rsid w:val="00D025EC"/>
    <w:rsid w:val="00D02906"/>
    <w:rsid w:val="00D03219"/>
    <w:rsid w:val="00D03927"/>
    <w:rsid w:val="00D03EB4"/>
    <w:rsid w:val="00D041C7"/>
    <w:rsid w:val="00D047AB"/>
    <w:rsid w:val="00D05A50"/>
    <w:rsid w:val="00D05D51"/>
    <w:rsid w:val="00D06564"/>
    <w:rsid w:val="00D06E06"/>
    <w:rsid w:val="00D07B10"/>
    <w:rsid w:val="00D15285"/>
    <w:rsid w:val="00D15425"/>
    <w:rsid w:val="00D154B7"/>
    <w:rsid w:val="00D25D7C"/>
    <w:rsid w:val="00D27B1E"/>
    <w:rsid w:val="00D30C4C"/>
    <w:rsid w:val="00D31D00"/>
    <w:rsid w:val="00D33694"/>
    <w:rsid w:val="00D33761"/>
    <w:rsid w:val="00D33AEA"/>
    <w:rsid w:val="00D3432D"/>
    <w:rsid w:val="00D36F30"/>
    <w:rsid w:val="00D40796"/>
    <w:rsid w:val="00D419A3"/>
    <w:rsid w:val="00D428B6"/>
    <w:rsid w:val="00D43786"/>
    <w:rsid w:val="00D43F8F"/>
    <w:rsid w:val="00D44508"/>
    <w:rsid w:val="00D4461D"/>
    <w:rsid w:val="00D44EB2"/>
    <w:rsid w:val="00D4555E"/>
    <w:rsid w:val="00D52814"/>
    <w:rsid w:val="00D52C96"/>
    <w:rsid w:val="00D53122"/>
    <w:rsid w:val="00D576E7"/>
    <w:rsid w:val="00D6020E"/>
    <w:rsid w:val="00D63108"/>
    <w:rsid w:val="00D65120"/>
    <w:rsid w:val="00D6609E"/>
    <w:rsid w:val="00D7215F"/>
    <w:rsid w:val="00D7230D"/>
    <w:rsid w:val="00D73588"/>
    <w:rsid w:val="00D74677"/>
    <w:rsid w:val="00D74CB4"/>
    <w:rsid w:val="00D777FC"/>
    <w:rsid w:val="00D83947"/>
    <w:rsid w:val="00D83D61"/>
    <w:rsid w:val="00D8478E"/>
    <w:rsid w:val="00D86287"/>
    <w:rsid w:val="00D905CE"/>
    <w:rsid w:val="00D90699"/>
    <w:rsid w:val="00D908C8"/>
    <w:rsid w:val="00D93192"/>
    <w:rsid w:val="00D93A19"/>
    <w:rsid w:val="00DA2041"/>
    <w:rsid w:val="00DA3A89"/>
    <w:rsid w:val="00DA3DCF"/>
    <w:rsid w:val="00DA6F09"/>
    <w:rsid w:val="00DA70F4"/>
    <w:rsid w:val="00DB0CDB"/>
    <w:rsid w:val="00DB0FAF"/>
    <w:rsid w:val="00DB137C"/>
    <w:rsid w:val="00DB3387"/>
    <w:rsid w:val="00DB36C7"/>
    <w:rsid w:val="00DB4F3A"/>
    <w:rsid w:val="00DB6062"/>
    <w:rsid w:val="00DB62BC"/>
    <w:rsid w:val="00DB709A"/>
    <w:rsid w:val="00DC02E3"/>
    <w:rsid w:val="00DC039A"/>
    <w:rsid w:val="00DC2551"/>
    <w:rsid w:val="00DC2B0A"/>
    <w:rsid w:val="00DC2C14"/>
    <w:rsid w:val="00DC2D10"/>
    <w:rsid w:val="00DC4F62"/>
    <w:rsid w:val="00DC5D5A"/>
    <w:rsid w:val="00DC5DAA"/>
    <w:rsid w:val="00DC6ED6"/>
    <w:rsid w:val="00DC78C3"/>
    <w:rsid w:val="00DD0D16"/>
    <w:rsid w:val="00DD19BF"/>
    <w:rsid w:val="00DD2055"/>
    <w:rsid w:val="00DD355A"/>
    <w:rsid w:val="00DD3D31"/>
    <w:rsid w:val="00DD6E1A"/>
    <w:rsid w:val="00DD711A"/>
    <w:rsid w:val="00DD76DA"/>
    <w:rsid w:val="00DD7FDC"/>
    <w:rsid w:val="00DE072C"/>
    <w:rsid w:val="00DE08D3"/>
    <w:rsid w:val="00DE0DC9"/>
    <w:rsid w:val="00DE1B4D"/>
    <w:rsid w:val="00DE1D6B"/>
    <w:rsid w:val="00DE24ED"/>
    <w:rsid w:val="00DE2694"/>
    <w:rsid w:val="00DE377E"/>
    <w:rsid w:val="00DE3D44"/>
    <w:rsid w:val="00DE481A"/>
    <w:rsid w:val="00DE4DD9"/>
    <w:rsid w:val="00DE51BB"/>
    <w:rsid w:val="00DF0148"/>
    <w:rsid w:val="00DF0A93"/>
    <w:rsid w:val="00DF124A"/>
    <w:rsid w:val="00DF1979"/>
    <w:rsid w:val="00DF2205"/>
    <w:rsid w:val="00DF267A"/>
    <w:rsid w:val="00DF4D76"/>
    <w:rsid w:val="00DF71FD"/>
    <w:rsid w:val="00DF7B01"/>
    <w:rsid w:val="00E00120"/>
    <w:rsid w:val="00E008C3"/>
    <w:rsid w:val="00E024EF"/>
    <w:rsid w:val="00E03C69"/>
    <w:rsid w:val="00E059B2"/>
    <w:rsid w:val="00E06424"/>
    <w:rsid w:val="00E0773A"/>
    <w:rsid w:val="00E10CD2"/>
    <w:rsid w:val="00E1352E"/>
    <w:rsid w:val="00E144DE"/>
    <w:rsid w:val="00E14C10"/>
    <w:rsid w:val="00E14EB6"/>
    <w:rsid w:val="00E15029"/>
    <w:rsid w:val="00E16BD4"/>
    <w:rsid w:val="00E1770B"/>
    <w:rsid w:val="00E2153A"/>
    <w:rsid w:val="00E2303C"/>
    <w:rsid w:val="00E23568"/>
    <w:rsid w:val="00E2511E"/>
    <w:rsid w:val="00E25BEC"/>
    <w:rsid w:val="00E27206"/>
    <w:rsid w:val="00E275DA"/>
    <w:rsid w:val="00E276F2"/>
    <w:rsid w:val="00E33847"/>
    <w:rsid w:val="00E33B6A"/>
    <w:rsid w:val="00E34D29"/>
    <w:rsid w:val="00E36A16"/>
    <w:rsid w:val="00E378E3"/>
    <w:rsid w:val="00E4250C"/>
    <w:rsid w:val="00E42843"/>
    <w:rsid w:val="00E42AF9"/>
    <w:rsid w:val="00E45C49"/>
    <w:rsid w:val="00E46FFF"/>
    <w:rsid w:val="00E47442"/>
    <w:rsid w:val="00E47E54"/>
    <w:rsid w:val="00E506F2"/>
    <w:rsid w:val="00E518A0"/>
    <w:rsid w:val="00E55920"/>
    <w:rsid w:val="00E56091"/>
    <w:rsid w:val="00E562BB"/>
    <w:rsid w:val="00E617C2"/>
    <w:rsid w:val="00E61E7A"/>
    <w:rsid w:val="00E6210C"/>
    <w:rsid w:val="00E62939"/>
    <w:rsid w:val="00E62AA4"/>
    <w:rsid w:val="00E63A47"/>
    <w:rsid w:val="00E64C32"/>
    <w:rsid w:val="00E64ECA"/>
    <w:rsid w:val="00E67720"/>
    <w:rsid w:val="00E701F7"/>
    <w:rsid w:val="00E70CED"/>
    <w:rsid w:val="00E718F2"/>
    <w:rsid w:val="00E725FE"/>
    <w:rsid w:val="00E7387A"/>
    <w:rsid w:val="00E74891"/>
    <w:rsid w:val="00E74EB3"/>
    <w:rsid w:val="00E755A3"/>
    <w:rsid w:val="00E758BA"/>
    <w:rsid w:val="00E76119"/>
    <w:rsid w:val="00E7778B"/>
    <w:rsid w:val="00E80118"/>
    <w:rsid w:val="00E80E40"/>
    <w:rsid w:val="00E81F22"/>
    <w:rsid w:val="00E82EAF"/>
    <w:rsid w:val="00E832D0"/>
    <w:rsid w:val="00E834FA"/>
    <w:rsid w:val="00E83A35"/>
    <w:rsid w:val="00E85C64"/>
    <w:rsid w:val="00E90F07"/>
    <w:rsid w:val="00E91661"/>
    <w:rsid w:val="00E9234B"/>
    <w:rsid w:val="00E92F44"/>
    <w:rsid w:val="00E9607D"/>
    <w:rsid w:val="00E970D7"/>
    <w:rsid w:val="00E97C7D"/>
    <w:rsid w:val="00E97E9C"/>
    <w:rsid w:val="00EA1BA3"/>
    <w:rsid w:val="00EA2044"/>
    <w:rsid w:val="00EA209C"/>
    <w:rsid w:val="00EA21FE"/>
    <w:rsid w:val="00EA2CDE"/>
    <w:rsid w:val="00EA302E"/>
    <w:rsid w:val="00EA433D"/>
    <w:rsid w:val="00EA704E"/>
    <w:rsid w:val="00EA7185"/>
    <w:rsid w:val="00EB0310"/>
    <w:rsid w:val="00EB0515"/>
    <w:rsid w:val="00EB235C"/>
    <w:rsid w:val="00EB58E7"/>
    <w:rsid w:val="00EB5A64"/>
    <w:rsid w:val="00EB78A5"/>
    <w:rsid w:val="00EB7A94"/>
    <w:rsid w:val="00EB7B81"/>
    <w:rsid w:val="00EC270D"/>
    <w:rsid w:val="00EC2A72"/>
    <w:rsid w:val="00EC3065"/>
    <w:rsid w:val="00EC4A6A"/>
    <w:rsid w:val="00EC4E38"/>
    <w:rsid w:val="00EC531D"/>
    <w:rsid w:val="00EC5570"/>
    <w:rsid w:val="00EC5962"/>
    <w:rsid w:val="00EC65D2"/>
    <w:rsid w:val="00EC7FC4"/>
    <w:rsid w:val="00ED0869"/>
    <w:rsid w:val="00ED15C9"/>
    <w:rsid w:val="00ED2A81"/>
    <w:rsid w:val="00ED43D8"/>
    <w:rsid w:val="00ED5648"/>
    <w:rsid w:val="00ED5EA7"/>
    <w:rsid w:val="00ED6639"/>
    <w:rsid w:val="00EE13A9"/>
    <w:rsid w:val="00EE1C22"/>
    <w:rsid w:val="00EE2927"/>
    <w:rsid w:val="00EE2C87"/>
    <w:rsid w:val="00EE3AD3"/>
    <w:rsid w:val="00EE40AE"/>
    <w:rsid w:val="00EE444F"/>
    <w:rsid w:val="00EE57EF"/>
    <w:rsid w:val="00EE65C1"/>
    <w:rsid w:val="00EE6D6A"/>
    <w:rsid w:val="00EE6D85"/>
    <w:rsid w:val="00EE6D97"/>
    <w:rsid w:val="00EE76B2"/>
    <w:rsid w:val="00EF2845"/>
    <w:rsid w:val="00EF2DB8"/>
    <w:rsid w:val="00EF3BA0"/>
    <w:rsid w:val="00EF6738"/>
    <w:rsid w:val="00EF6ECB"/>
    <w:rsid w:val="00F02098"/>
    <w:rsid w:val="00F027F7"/>
    <w:rsid w:val="00F03446"/>
    <w:rsid w:val="00F03523"/>
    <w:rsid w:val="00F041C4"/>
    <w:rsid w:val="00F04B92"/>
    <w:rsid w:val="00F05D82"/>
    <w:rsid w:val="00F05DA5"/>
    <w:rsid w:val="00F10C57"/>
    <w:rsid w:val="00F1340E"/>
    <w:rsid w:val="00F134E9"/>
    <w:rsid w:val="00F14466"/>
    <w:rsid w:val="00F16C83"/>
    <w:rsid w:val="00F17B3E"/>
    <w:rsid w:val="00F17C49"/>
    <w:rsid w:val="00F20426"/>
    <w:rsid w:val="00F21560"/>
    <w:rsid w:val="00F236C0"/>
    <w:rsid w:val="00F23BAD"/>
    <w:rsid w:val="00F269B4"/>
    <w:rsid w:val="00F26B5E"/>
    <w:rsid w:val="00F27E40"/>
    <w:rsid w:val="00F31BAB"/>
    <w:rsid w:val="00F33214"/>
    <w:rsid w:val="00F33501"/>
    <w:rsid w:val="00F35E4E"/>
    <w:rsid w:val="00F37A5E"/>
    <w:rsid w:val="00F4036B"/>
    <w:rsid w:val="00F41181"/>
    <w:rsid w:val="00F419CD"/>
    <w:rsid w:val="00F45288"/>
    <w:rsid w:val="00F4530A"/>
    <w:rsid w:val="00F45C85"/>
    <w:rsid w:val="00F46C66"/>
    <w:rsid w:val="00F47EC1"/>
    <w:rsid w:val="00F50C19"/>
    <w:rsid w:val="00F51EB2"/>
    <w:rsid w:val="00F52B57"/>
    <w:rsid w:val="00F52ED3"/>
    <w:rsid w:val="00F534DD"/>
    <w:rsid w:val="00F53EBE"/>
    <w:rsid w:val="00F540DE"/>
    <w:rsid w:val="00F5676F"/>
    <w:rsid w:val="00F57F29"/>
    <w:rsid w:val="00F65EF2"/>
    <w:rsid w:val="00F666BC"/>
    <w:rsid w:val="00F71586"/>
    <w:rsid w:val="00F73193"/>
    <w:rsid w:val="00F73987"/>
    <w:rsid w:val="00F74CBD"/>
    <w:rsid w:val="00F75F19"/>
    <w:rsid w:val="00F8003F"/>
    <w:rsid w:val="00F84F3E"/>
    <w:rsid w:val="00F851D1"/>
    <w:rsid w:val="00F8621E"/>
    <w:rsid w:val="00F908E0"/>
    <w:rsid w:val="00F90EF4"/>
    <w:rsid w:val="00F91C6E"/>
    <w:rsid w:val="00F938F1"/>
    <w:rsid w:val="00F94261"/>
    <w:rsid w:val="00F94D55"/>
    <w:rsid w:val="00F9552D"/>
    <w:rsid w:val="00F9560E"/>
    <w:rsid w:val="00F97902"/>
    <w:rsid w:val="00FA04D9"/>
    <w:rsid w:val="00FA0D09"/>
    <w:rsid w:val="00FA1046"/>
    <w:rsid w:val="00FA36D3"/>
    <w:rsid w:val="00FA374F"/>
    <w:rsid w:val="00FA388B"/>
    <w:rsid w:val="00FA55DB"/>
    <w:rsid w:val="00FA5857"/>
    <w:rsid w:val="00FA74C5"/>
    <w:rsid w:val="00FB1226"/>
    <w:rsid w:val="00FB1B71"/>
    <w:rsid w:val="00FB1C16"/>
    <w:rsid w:val="00FB2151"/>
    <w:rsid w:val="00FB393D"/>
    <w:rsid w:val="00FB5963"/>
    <w:rsid w:val="00FB6EFE"/>
    <w:rsid w:val="00FC193C"/>
    <w:rsid w:val="00FC20BD"/>
    <w:rsid w:val="00FC2DA9"/>
    <w:rsid w:val="00FC3031"/>
    <w:rsid w:val="00FC4000"/>
    <w:rsid w:val="00FC57B1"/>
    <w:rsid w:val="00FC592E"/>
    <w:rsid w:val="00FC68D9"/>
    <w:rsid w:val="00FC6A47"/>
    <w:rsid w:val="00FD03A0"/>
    <w:rsid w:val="00FD08B7"/>
    <w:rsid w:val="00FD122C"/>
    <w:rsid w:val="00FD1898"/>
    <w:rsid w:val="00FD344C"/>
    <w:rsid w:val="00FD355C"/>
    <w:rsid w:val="00FD3A4E"/>
    <w:rsid w:val="00FD5969"/>
    <w:rsid w:val="00FD5B50"/>
    <w:rsid w:val="00FD677A"/>
    <w:rsid w:val="00FD6C22"/>
    <w:rsid w:val="00FE15D8"/>
    <w:rsid w:val="00FE1865"/>
    <w:rsid w:val="00FE2126"/>
    <w:rsid w:val="00FE389F"/>
    <w:rsid w:val="00FE3BF4"/>
    <w:rsid w:val="00FE4136"/>
    <w:rsid w:val="00FE4E95"/>
    <w:rsid w:val="00FE57D9"/>
    <w:rsid w:val="00FE5A3B"/>
    <w:rsid w:val="00FE635F"/>
    <w:rsid w:val="00FE67AB"/>
    <w:rsid w:val="00FE69CB"/>
    <w:rsid w:val="00FE6DD8"/>
    <w:rsid w:val="00FF0AD2"/>
    <w:rsid w:val="00FF223F"/>
    <w:rsid w:val="00FF2748"/>
    <w:rsid w:val="00FF2E88"/>
    <w:rsid w:val="00FF3091"/>
    <w:rsid w:val="00FF4AD3"/>
    <w:rsid w:val="00FF4E35"/>
    <w:rsid w:val="00FF4FB8"/>
    <w:rsid w:val="00FF5716"/>
    <w:rsid w:val="00FF5759"/>
    <w:rsid w:val="00FF732A"/>
    <w:rsid w:val="00FF7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left" fill="f" fillcolor="white" stroke="f">
      <v:fill color="white" on="f"/>
      <v:stroke on="f"/>
      <o:colormru v:ext="edit" colors="#008272"/>
    </o:shapedefaults>
    <o:shapelayout v:ext="edit">
      <o:idmap v:ext="edit" data="1"/>
    </o:shapelayout>
  </w:shapeDefaults>
  <w:decimalSymbol w:val="."/>
  <w:listSeparator w:val=","/>
  <w14:docId w14:val="581627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205"/>
    <w:rPr>
      <w:rFonts w:ascii="Segoe UI" w:hAnsi="Segoe UI" w:cs="Segoe UI"/>
    </w:rPr>
  </w:style>
  <w:style w:type="paragraph" w:styleId="Heading1">
    <w:name w:val="heading 1"/>
    <w:basedOn w:val="Normal"/>
    <w:next w:val="Normal"/>
    <w:link w:val="Heading1Char"/>
    <w:uiPriority w:val="9"/>
    <w:qFormat/>
    <w:rsid w:val="00BB5205"/>
    <w:pPr>
      <w:keepNext/>
      <w:keepLines/>
      <w:spacing w:before="240" w:after="0"/>
      <w:outlineLvl w:val="0"/>
    </w:pPr>
    <w:rPr>
      <w:rFonts w:ascii="Segoe UI Light" w:eastAsiaTheme="majorEastAsia" w:hAnsi="Segoe UI Light" w:cs="Segoe UI Light"/>
      <w:color w:val="2E74B5" w:themeColor="accent1" w:themeShade="BF"/>
      <w:sz w:val="32"/>
      <w:szCs w:val="32"/>
    </w:rPr>
  </w:style>
  <w:style w:type="paragraph" w:styleId="Heading2">
    <w:name w:val="heading 2"/>
    <w:basedOn w:val="Normal"/>
    <w:next w:val="Normal"/>
    <w:link w:val="Heading2Char"/>
    <w:uiPriority w:val="9"/>
    <w:unhideWhenUsed/>
    <w:qFormat/>
    <w:rsid w:val="00BB5205"/>
    <w:pPr>
      <w:keepNext/>
      <w:keepLines/>
      <w:spacing w:before="40" w:after="0"/>
      <w:outlineLvl w:val="1"/>
    </w:pPr>
    <w:rPr>
      <w:rFonts w:ascii="Segoe UI Light" w:eastAsiaTheme="majorEastAsia" w:hAnsi="Segoe UI Light" w:cs="Segoe UI Light"/>
      <w:color w:val="2E74B5" w:themeColor="accent1" w:themeShade="BF"/>
      <w:sz w:val="26"/>
      <w:szCs w:val="26"/>
    </w:rPr>
  </w:style>
  <w:style w:type="paragraph" w:styleId="Heading3">
    <w:name w:val="heading 3"/>
    <w:basedOn w:val="Normal"/>
    <w:next w:val="Normal"/>
    <w:link w:val="Heading3Char"/>
    <w:uiPriority w:val="9"/>
    <w:unhideWhenUsed/>
    <w:qFormat/>
    <w:rsid w:val="00E46FFF"/>
    <w:pPr>
      <w:keepNext/>
      <w:keepLines/>
      <w:spacing w:before="40" w:after="0"/>
      <w:outlineLvl w:val="2"/>
    </w:pPr>
    <w:rPr>
      <w:rFonts w:ascii="Segoe UI Light" w:eastAsiaTheme="majorEastAsia" w:hAnsi="Segoe UI Light" w:cs="Segoe UI Light"/>
      <w:color w:val="1F4D78" w:themeColor="accent1" w:themeShade="7F"/>
      <w:sz w:val="24"/>
      <w:szCs w:val="24"/>
    </w:rPr>
  </w:style>
  <w:style w:type="paragraph" w:styleId="Heading4">
    <w:name w:val="heading 4"/>
    <w:basedOn w:val="Normal"/>
    <w:next w:val="Normal"/>
    <w:link w:val="Heading4Char"/>
    <w:uiPriority w:val="9"/>
    <w:unhideWhenUsed/>
    <w:qFormat/>
    <w:rsid w:val="00B84FEE"/>
    <w:pPr>
      <w:keepNext/>
      <w:keepLines/>
      <w:spacing w:before="40" w:after="0"/>
      <w:outlineLvl w:val="3"/>
    </w:pPr>
    <w:rPr>
      <w:rFonts w:ascii="Segoe UI Light" w:eastAsiaTheme="majorEastAsia" w:hAnsi="Segoe UI Light" w:cs="Segoe UI Light"/>
      <w:i/>
      <w:iCs/>
      <w:color w:val="2E74B5" w:themeColor="accent1" w:themeShade="BF"/>
    </w:rPr>
  </w:style>
  <w:style w:type="paragraph" w:styleId="Heading5">
    <w:name w:val="heading 5"/>
    <w:basedOn w:val="Normal"/>
    <w:next w:val="Normal"/>
    <w:link w:val="Heading5Char"/>
    <w:uiPriority w:val="9"/>
    <w:unhideWhenUsed/>
    <w:qFormat/>
    <w:rsid w:val="00A213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7C4"/>
    <w:pPr>
      <w:ind w:left="720"/>
      <w:contextualSpacing/>
    </w:pPr>
  </w:style>
  <w:style w:type="paragraph" w:styleId="BalloonText">
    <w:name w:val="Balloon Text"/>
    <w:basedOn w:val="Normal"/>
    <w:link w:val="BalloonTextChar"/>
    <w:uiPriority w:val="99"/>
    <w:semiHidden/>
    <w:unhideWhenUsed/>
    <w:rsid w:val="002047C4"/>
    <w:pPr>
      <w:spacing w:after="0" w:line="240" w:lineRule="auto"/>
    </w:pPr>
    <w:rPr>
      <w:sz w:val="18"/>
      <w:szCs w:val="18"/>
    </w:rPr>
  </w:style>
  <w:style w:type="character" w:customStyle="1" w:styleId="BalloonTextChar">
    <w:name w:val="Balloon Text Char"/>
    <w:basedOn w:val="DefaultParagraphFont"/>
    <w:link w:val="BalloonText"/>
    <w:uiPriority w:val="99"/>
    <w:semiHidden/>
    <w:rsid w:val="002047C4"/>
    <w:rPr>
      <w:rFonts w:ascii="Segoe UI" w:hAnsi="Segoe UI" w:cs="Segoe UI"/>
      <w:sz w:val="18"/>
      <w:szCs w:val="18"/>
    </w:rPr>
  </w:style>
  <w:style w:type="paragraph" w:styleId="Header">
    <w:name w:val="header"/>
    <w:basedOn w:val="Normal"/>
    <w:link w:val="HeaderChar"/>
    <w:uiPriority w:val="99"/>
    <w:unhideWhenUsed/>
    <w:rsid w:val="008E3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A24"/>
  </w:style>
  <w:style w:type="paragraph" w:styleId="Footer">
    <w:name w:val="footer"/>
    <w:basedOn w:val="Normal"/>
    <w:link w:val="FooterChar"/>
    <w:uiPriority w:val="99"/>
    <w:unhideWhenUsed/>
    <w:rsid w:val="008E3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A24"/>
  </w:style>
  <w:style w:type="character" w:styleId="CommentReference">
    <w:name w:val="annotation reference"/>
    <w:basedOn w:val="DefaultParagraphFont"/>
    <w:uiPriority w:val="99"/>
    <w:semiHidden/>
    <w:unhideWhenUsed/>
    <w:rsid w:val="007F6925"/>
    <w:rPr>
      <w:sz w:val="16"/>
      <w:szCs w:val="16"/>
    </w:rPr>
  </w:style>
  <w:style w:type="paragraph" w:styleId="CommentText">
    <w:name w:val="annotation text"/>
    <w:basedOn w:val="Normal"/>
    <w:link w:val="CommentTextChar"/>
    <w:uiPriority w:val="99"/>
    <w:unhideWhenUsed/>
    <w:rsid w:val="007F6925"/>
    <w:pPr>
      <w:spacing w:line="240" w:lineRule="auto"/>
    </w:pPr>
    <w:rPr>
      <w:sz w:val="20"/>
      <w:szCs w:val="20"/>
    </w:rPr>
  </w:style>
  <w:style w:type="character" w:customStyle="1" w:styleId="CommentTextChar">
    <w:name w:val="Comment Text Char"/>
    <w:basedOn w:val="DefaultParagraphFont"/>
    <w:link w:val="CommentText"/>
    <w:uiPriority w:val="99"/>
    <w:rsid w:val="007F6925"/>
    <w:rPr>
      <w:sz w:val="20"/>
      <w:szCs w:val="20"/>
    </w:rPr>
  </w:style>
  <w:style w:type="paragraph" w:styleId="CommentSubject">
    <w:name w:val="annotation subject"/>
    <w:basedOn w:val="CommentText"/>
    <w:next w:val="CommentText"/>
    <w:link w:val="CommentSubjectChar"/>
    <w:uiPriority w:val="99"/>
    <w:semiHidden/>
    <w:unhideWhenUsed/>
    <w:rsid w:val="007F6925"/>
    <w:rPr>
      <w:b/>
      <w:bCs/>
    </w:rPr>
  </w:style>
  <w:style w:type="character" w:customStyle="1" w:styleId="CommentSubjectChar">
    <w:name w:val="Comment Subject Char"/>
    <w:basedOn w:val="CommentTextChar"/>
    <w:link w:val="CommentSubject"/>
    <w:uiPriority w:val="99"/>
    <w:semiHidden/>
    <w:rsid w:val="007F6925"/>
    <w:rPr>
      <w:b/>
      <w:bCs/>
      <w:sz w:val="20"/>
      <w:szCs w:val="20"/>
    </w:rPr>
  </w:style>
  <w:style w:type="character" w:customStyle="1" w:styleId="Heading1Char">
    <w:name w:val="Heading 1 Char"/>
    <w:basedOn w:val="DefaultParagraphFont"/>
    <w:link w:val="Heading1"/>
    <w:uiPriority w:val="9"/>
    <w:rsid w:val="00D05D51"/>
    <w:rPr>
      <w:rFonts w:ascii="Segoe UI Light" w:eastAsiaTheme="majorEastAsia" w:hAnsi="Segoe UI Light" w:cs="Segoe UI Light"/>
      <w:color w:val="2E74B5" w:themeColor="accent1" w:themeShade="BF"/>
      <w:sz w:val="32"/>
      <w:szCs w:val="32"/>
    </w:rPr>
  </w:style>
  <w:style w:type="paragraph" w:styleId="TOCHeading">
    <w:name w:val="TOC Heading"/>
    <w:basedOn w:val="Heading1"/>
    <w:next w:val="Normal"/>
    <w:uiPriority w:val="39"/>
    <w:unhideWhenUsed/>
    <w:qFormat/>
    <w:rsid w:val="00D05D51"/>
    <w:pPr>
      <w:outlineLvl w:val="9"/>
    </w:pPr>
    <w:rPr>
      <w:lang w:eastAsia="en-US"/>
    </w:rPr>
  </w:style>
  <w:style w:type="paragraph" w:styleId="TOC1">
    <w:name w:val="toc 1"/>
    <w:basedOn w:val="Normal"/>
    <w:next w:val="Normal"/>
    <w:autoRedefine/>
    <w:uiPriority w:val="39"/>
    <w:unhideWhenUsed/>
    <w:rsid w:val="00D05D51"/>
    <w:pPr>
      <w:spacing w:after="100"/>
    </w:pPr>
  </w:style>
  <w:style w:type="character" w:styleId="Hyperlink">
    <w:name w:val="Hyperlink"/>
    <w:basedOn w:val="DefaultParagraphFont"/>
    <w:uiPriority w:val="99"/>
    <w:unhideWhenUsed/>
    <w:rsid w:val="00D05D51"/>
    <w:rPr>
      <w:color w:val="0563C1" w:themeColor="hyperlink"/>
      <w:u w:val="single"/>
    </w:rPr>
  </w:style>
  <w:style w:type="character" w:customStyle="1" w:styleId="Heading2Char">
    <w:name w:val="Heading 2 Char"/>
    <w:basedOn w:val="DefaultParagraphFont"/>
    <w:link w:val="Heading2"/>
    <w:uiPriority w:val="9"/>
    <w:rsid w:val="00D05D51"/>
    <w:rPr>
      <w:rFonts w:ascii="Segoe UI Light" w:eastAsiaTheme="majorEastAsia" w:hAnsi="Segoe UI Light" w:cs="Segoe UI Light"/>
      <w:color w:val="2E74B5" w:themeColor="accent1" w:themeShade="BF"/>
      <w:sz w:val="26"/>
      <w:szCs w:val="26"/>
    </w:rPr>
  </w:style>
  <w:style w:type="paragraph" w:styleId="TOC2">
    <w:name w:val="toc 2"/>
    <w:basedOn w:val="Normal"/>
    <w:next w:val="Normal"/>
    <w:autoRedefine/>
    <w:uiPriority w:val="39"/>
    <w:unhideWhenUsed/>
    <w:rsid w:val="00D05D51"/>
    <w:pPr>
      <w:spacing w:after="100"/>
      <w:ind w:left="220"/>
    </w:pPr>
  </w:style>
  <w:style w:type="character" w:customStyle="1" w:styleId="Heading3Char">
    <w:name w:val="Heading 3 Char"/>
    <w:basedOn w:val="DefaultParagraphFont"/>
    <w:link w:val="Heading3"/>
    <w:uiPriority w:val="9"/>
    <w:rsid w:val="00E46FFF"/>
    <w:rPr>
      <w:rFonts w:ascii="Segoe UI Light" w:eastAsiaTheme="majorEastAsia" w:hAnsi="Segoe UI Light" w:cs="Segoe UI Light"/>
      <w:color w:val="1F4D78" w:themeColor="accent1" w:themeShade="7F"/>
      <w:sz w:val="24"/>
      <w:szCs w:val="24"/>
    </w:rPr>
  </w:style>
  <w:style w:type="paragraph" w:styleId="TOC3">
    <w:name w:val="toc 3"/>
    <w:basedOn w:val="Normal"/>
    <w:next w:val="Normal"/>
    <w:autoRedefine/>
    <w:uiPriority w:val="39"/>
    <w:unhideWhenUsed/>
    <w:rsid w:val="007536E9"/>
    <w:pPr>
      <w:spacing w:after="100"/>
      <w:ind w:left="440"/>
    </w:pPr>
  </w:style>
  <w:style w:type="table" w:styleId="TableGrid">
    <w:name w:val="Table Grid"/>
    <w:basedOn w:val="TableNormal"/>
    <w:uiPriority w:val="39"/>
    <w:rsid w:val="002D6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D6F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DE1B4D"/>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B84FEE"/>
    <w:rPr>
      <w:rFonts w:ascii="Segoe UI Light" w:eastAsiaTheme="majorEastAsia" w:hAnsi="Segoe UI Light" w:cs="Segoe UI Light"/>
      <w:i/>
      <w:iCs/>
      <w:color w:val="2E74B5" w:themeColor="accent1" w:themeShade="BF"/>
    </w:rPr>
  </w:style>
  <w:style w:type="character" w:styleId="Strong">
    <w:name w:val="Strong"/>
    <w:basedOn w:val="DefaultParagraphFont"/>
    <w:uiPriority w:val="22"/>
    <w:qFormat/>
    <w:rsid w:val="00E47E54"/>
    <w:rPr>
      <w:b/>
      <w:bCs/>
    </w:rPr>
  </w:style>
  <w:style w:type="character" w:customStyle="1" w:styleId="Heading5Char">
    <w:name w:val="Heading 5 Char"/>
    <w:basedOn w:val="DefaultParagraphFont"/>
    <w:link w:val="Heading5"/>
    <w:uiPriority w:val="9"/>
    <w:rsid w:val="00A213C3"/>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F51EB2"/>
    <w:rPr>
      <w:color w:val="808080"/>
      <w:shd w:val="clear" w:color="auto" w:fill="E6E6E6"/>
    </w:rPr>
  </w:style>
  <w:style w:type="paragraph" w:styleId="FootnoteText">
    <w:name w:val="footnote text"/>
    <w:basedOn w:val="Normal"/>
    <w:link w:val="FootnoteTextChar"/>
    <w:uiPriority w:val="99"/>
    <w:semiHidden/>
    <w:unhideWhenUsed/>
    <w:rsid w:val="00277B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7BFA"/>
    <w:rPr>
      <w:rFonts w:ascii="Segoe UI" w:hAnsi="Segoe UI" w:cs="Segoe UI"/>
      <w:sz w:val="20"/>
      <w:szCs w:val="20"/>
    </w:rPr>
  </w:style>
  <w:style w:type="character" w:styleId="FootnoteReference">
    <w:name w:val="footnote reference"/>
    <w:basedOn w:val="DefaultParagraphFont"/>
    <w:uiPriority w:val="99"/>
    <w:semiHidden/>
    <w:unhideWhenUsed/>
    <w:rsid w:val="00277BFA"/>
    <w:rPr>
      <w:vertAlign w:val="superscript"/>
    </w:rPr>
  </w:style>
  <w:style w:type="character" w:styleId="FollowedHyperlink">
    <w:name w:val="FollowedHyperlink"/>
    <w:basedOn w:val="DefaultParagraphFont"/>
    <w:uiPriority w:val="99"/>
    <w:semiHidden/>
    <w:unhideWhenUsed/>
    <w:rsid w:val="005352A2"/>
    <w:rPr>
      <w:color w:val="954F72" w:themeColor="followedHyperlink"/>
      <w:u w:val="single"/>
    </w:rPr>
  </w:style>
  <w:style w:type="paragraph" w:styleId="NormalWeb">
    <w:name w:val="Normal (Web)"/>
    <w:basedOn w:val="Normal"/>
    <w:uiPriority w:val="99"/>
    <w:semiHidden/>
    <w:unhideWhenUsed/>
    <w:rsid w:val="00194EC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ableReference">
    <w:name w:val="Table Reference"/>
    <w:basedOn w:val="Caption"/>
    <w:link w:val="TableReferenceChar"/>
    <w:qFormat/>
    <w:rsid w:val="00032C5A"/>
    <w:pPr>
      <w:spacing w:before="60" w:after="60" w:line="360" w:lineRule="auto"/>
      <w:jc w:val="both"/>
    </w:pPr>
    <w:rPr>
      <w:rFonts w:asciiTheme="minorHAnsi" w:eastAsiaTheme="minorHAnsi" w:hAnsiTheme="minorHAnsi" w:cstheme="minorBidi"/>
      <w:color w:val="4472C4" w:themeColor="accent5"/>
      <w:lang w:eastAsia="en-US"/>
    </w:rPr>
  </w:style>
  <w:style w:type="character" w:customStyle="1" w:styleId="TableReferenceChar">
    <w:name w:val="Table Reference Char"/>
    <w:basedOn w:val="DefaultParagraphFont"/>
    <w:link w:val="TableReference"/>
    <w:rsid w:val="00032C5A"/>
    <w:rPr>
      <w:rFonts w:eastAsiaTheme="minorHAnsi"/>
      <w:i/>
      <w:iCs/>
      <w:color w:val="4472C4" w:themeColor="accent5"/>
      <w:sz w:val="18"/>
      <w:szCs w:val="18"/>
      <w:lang w:eastAsia="en-US"/>
    </w:rPr>
  </w:style>
  <w:style w:type="table" w:styleId="GridTable1Light-Accent6">
    <w:name w:val="Grid Table 1 Light Accent 6"/>
    <w:basedOn w:val="TableNormal"/>
    <w:uiPriority w:val="46"/>
    <w:rsid w:val="00032C5A"/>
    <w:pPr>
      <w:spacing w:after="0" w:line="240" w:lineRule="auto"/>
    </w:pPr>
    <w:rPr>
      <w:rFonts w:eastAsiaTheme="minorHAnsi"/>
      <w:lang w:val="en-GB" w:eastAsia="en-US"/>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Bulletlist">
    <w:name w:val="Bullet list"/>
    <w:basedOn w:val="ListParagraph"/>
    <w:link w:val="BulletlistChar"/>
    <w:qFormat/>
    <w:rsid w:val="00032C5A"/>
    <w:pPr>
      <w:numPr>
        <w:numId w:val="24"/>
      </w:numPr>
      <w:spacing w:before="120" w:after="120"/>
    </w:pPr>
    <w:rPr>
      <w:rFonts w:eastAsiaTheme="minorHAnsi" w:cstheme="minorBidi"/>
      <w:sz w:val="20"/>
      <w:lang w:eastAsia="en-US"/>
    </w:rPr>
  </w:style>
  <w:style w:type="character" w:customStyle="1" w:styleId="BulletlistChar">
    <w:name w:val="Bullet list Char"/>
    <w:basedOn w:val="DefaultParagraphFont"/>
    <w:link w:val="Bulletlist"/>
    <w:rsid w:val="00032C5A"/>
    <w:rPr>
      <w:rFonts w:ascii="Segoe UI" w:eastAsiaTheme="minorHAnsi" w:hAnsi="Segoe UI"/>
      <w:sz w:val="20"/>
      <w:lang w:eastAsia="en-US"/>
    </w:rPr>
  </w:style>
  <w:style w:type="character" w:styleId="Emphasis">
    <w:name w:val="Emphasis"/>
    <w:basedOn w:val="DefaultParagraphFont"/>
    <w:uiPriority w:val="20"/>
    <w:qFormat/>
    <w:rsid w:val="003C1910"/>
    <w:rPr>
      <w:i/>
      <w:iCs/>
    </w:rPr>
  </w:style>
  <w:style w:type="table" w:styleId="ListTable3-Accent1">
    <w:name w:val="List Table 3 Accent 1"/>
    <w:basedOn w:val="TableNormal"/>
    <w:uiPriority w:val="48"/>
    <w:rsid w:val="008E289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89252">
      <w:bodyDiv w:val="1"/>
      <w:marLeft w:val="0"/>
      <w:marRight w:val="0"/>
      <w:marTop w:val="0"/>
      <w:marBottom w:val="0"/>
      <w:divBdr>
        <w:top w:val="none" w:sz="0" w:space="0" w:color="auto"/>
        <w:left w:val="none" w:sz="0" w:space="0" w:color="auto"/>
        <w:bottom w:val="none" w:sz="0" w:space="0" w:color="auto"/>
        <w:right w:val="none" w:sz="0" w:space="0" w:color="auto"/>
      </w:divBdr>
      <w:divsChild>
        <w:div w:id="619266542">
          <w:marLeft w:val="360"/>
          <w:marRight w:val="0"/>
          <w:marTop w:val="0"/>
          <w:marBottom w:val="0"/>
          <w:divBdr>
            <w:top w:val="none" w:sz="0" w:space="0" w:color="auto"/>
            <w:left w:val="none" w:sz="0" w:space="0" w:color="auto"/>
            <w:bottom w:val="none" w:sz="0" w:space="0" w:color="auto"/>
            <w:right w:val="none" w:sz="0" w:space="0" w:color="auto"/>
          </w:divBdr>
        </w:div>
        <w:div w:id="937055238">
          <w:marLeft w:val="360"/>
          <w:marRight w:val="0"/>
          <w:marTop w:val="0"/>
          <w:marBottom w:val="0"/>
          <w:divBdr>
            <w:top w:val="none" w:sz="0" w:space="0" w:color="auto"/>
            <w:left w:val="none" w:sz="0" w:space="0" w:color="auto"/>
            <w:bottom w:val="none" w:sz="0" w:space="0" w:color="auto"/>
            <w:right w:val="none" w:sz="0" w:space="0" w:color="auto"/>
          </w:divBdr>
        </w:div>
        <w:div w:id="65997760">
          <w:marLeft w:val="360"/>
          <w:marRight w:val="0"/>
          <w:marTop w:val="0"/>
          <w:marBottom w:val="0"/>
          <w:divBdr>
            <w:top w:val="none" w:sz="0" w:space="0" w:color="auto"/>
            <w:left w:val="none" w:sz="0" w:space="0" w:color="auto"/>
            <w:bottom w:val="none" w:sz="0" w:space="0" w:color="auto"/>
            <w:right w:val="none" w:sz="0" w:space="0" w:color="auto"/>
          </w:divBdr>
        </w:div>
        <w:div w:id="1210995998">
          <w:marLeft w:val="360"/>
          <w:marRight w:val="0"/>
          <w:marTop w:val="0"/>
          <w:marBottom w:val="0"/>
          <w:divBdr>
            <w:top w:val="none" w:sz="0" w:space="0" w:color="auto"/>
            <w:left w:val="none" w:sz="0" w:space="0" w:color="auto"/>
            <w:bottom w:val="none" w:sz="0" w:space="0" w:color="auto"/>
            <w:right w:val="none" w:sz="0" w:space="0" w:color="auto"/>
          </w:divBdr>
        </w:div>
        <w:div w:id="205214933">
          <w:marLeft w:val="360"/>
          <w:marRight w:val="0"/>
          <w:marTop w:val="0"/>
          <w:marBottom w:val="0"/>
          <w:divBdr>
            <w:top w:val="none" w:sz="0" w:space="0" w:color="auto"/>
            <w:left w:val="none" w:sz="0" w:space="0" w:color="auto"/>
            <w:bottom w:val="none" w:sz="0" w:space="0" w:color="auto"/>
            <w:right w:val="none" w:sz="0" w:space="0" w:color="auto"/>
          </w:divBdr>
        </w:div>
      </w:divsChild>
    </w:div>
    <w:div w:id="226889585">
      <w:bodyDiv w:val="1"/>
      <w:marLeft w:val="0"/>
      <w:marRight w:val="0"/>
      <w:marTop w:val="0"/>
      <w:marBottom w:val="0"/>
      <w:divBdr>
        <w:top w:val="none" w:sz="0" w:space="0" w:color="auto"/>
        <w:left w:val="none" w:sz="0" w:space="0" w:color="auto"/>
        <w:bottom w:val="none" w:sz="0" w:space="0" w:color="auto"/>
        <w:right w:val="none" w:sz="0" w:space="0" w:color="auto"/>
      </w:divBdr>
    </w:div>
    <w:div w:id="346639318">
      <w:bodyDiv w:val="1"/>
      <w:marLeft w:val="0"/>
      <w:marRight w:val="0"/>
      <w:marTop w:val="0"/>
      <w:marBottom w:val="0"/>
      <w:divBdr>
        <w:top w:val="none" w:sz="0" w:space="0" w:color="auto"/>
        <w:left w:val="none" w:sz="0" w:space="0" w:color="auto"/>
        <w:bottom w:val="none" w:sz="0" w:space="0" w:color="auto"/>
        <w:right w:val="none" w:sz="0" w:space="0" w:color="auto"/>
      </w:divBdr>
    </w:div>
    <w:div w:id="429398973">
      <w:bodyDiv w:val="1"/>
      <w:marLeft w:val="0"/>
      <w:marRight w:val="0"/>
      <w:marTop w:val="0"/>
      <w:marBottom w:val="0"/>
      <w:divBdr>
        <w:top w:val="none" w:sz="0" w:space="0" w:color="auto"/>
        <w:left w:val="none" w:sz="0" w:space="0" w:color="auto"/>
        <w:bottom w:val="none" w:sz="0" w:space="0" w:color="auto"/>
        <w:right w:val="none" w:sz="0" w:space="0" w:color="auto"/>
      </w:divBdr>
      <w:divsChild>
        <w:div w:id="100729126">
          <w:marLeft w:val="0"/>
          <w:marRight w:val="0"/>
          <w:marTop w:val="0"/>
          <w:marBottom w:val="0"/>
          <w:divBdr>
            <w:top w:val="none" w:sz="0" w:space="0" w:color="auto"/>
            <w:left w:val="none" w:sz="0" w:space="0" w:color="auto"/>
            <w:bottom w:val="none" w:sz="0" w:space="0" w:color="auto"/>
            <w:right w:val="none" w:sz="0" w:space="0" w:color="auto"/>
          </w:divBdr>
          <w:divsChild>
            <w:div w:id="2065324322">
              <w:marLeft w:val="0"/>
              <w:marRight w:val="0"/>
              <w:marTop w:val="0"/>
              <w:marBottom w:val="0"/>
              <w:divBdr>
                <w:top w:val="none" w:sz="0" w:space="0" w:color="auto"/>
                <w:left w:val="none" w:sz="0" w:space="0" w:color="auto"/>
                <w:bottom w:val="none" w:sz="0" w:space="0" w:color="auto"/>
                <w:right w:val="none" w:sz="0" w:space="0" w:color="auto"/>
              </w:divBdr>
              <w:divsChild>
                <w:div w:id="20115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51816">
      <w:bodyDiv w:val="1"/>
      <w:marLeft w:val="0"/>
      <w:marRight w:val="0"/>
      <w:marTop w:val="0"/>
      <w:marBottom w:val="0"/>
      <w:divBdr>
        <w:top w:val="none" w:sz="0" w:space="0" w:color="auto"/>
        <w:left w:val="none" w:sz="0" w:space="0" w:color="auto"/>
        <w:bottom w:val="none" w:sz="0" w:space="0" w:color="auto"/>
        <w:right w:val="none" w:sz="0" w:space="0" w:color="auto"/>
      </w:divBdr>
    </w:div>
    <w:div w:id="634486270">
      <w:bodyDiv w:val="1"/>
      <w:marLeft w:val="0"/>
      <w:marRight w:val="0"/>
      <w:marTop w:val="0"/>
      <w:marBottom w:val="0"/>
      <w:divBdr>
        <w:top w:val="none" w:sz="0" w:space="0" w:color="auto"/>
        <w:left w:val="none" w:sz="0" w:space="0" w:color="auto"/>
        <w:bottom w:val="none" w:sz="0" w:space="0" w:color="auto"/>
        <w:right w:val="none" w:sz="0" w:space="0" w:color="auto"/>
      </w:divBdr>
    </w:div>
    <w:div w:id="854346086">
      <w:bodyDiv w:val="1"/>
      <w:marLeft w:val="0"/>
      <w:marRight w:val="0"/>
      <w:marTop w:val="0"/>
      <w:marBottom w:val="0"/>
      <w:divBdr>
        <w:top w:val="none" w:sz="0" w:space="0" w:color="auto"/>
        <w:left w:val="none" w:sz="0" w:space="0" w:color="auto"/>
        <w:bottom w:val="none" w:sz="0" w:space="0" w:color="auto"/>
        <w:right w:val="none" w:sz="0" w:space="0" w:color="auto"/>
      </w:divBdr>
    </w:div>
    <w:div w:id="931623061">
      <w:bodyDiv w:val="1"/>
      <w:marLeft w:val="0"/>
      <w:marRight w:val="0"/>
      <w:marTop w:val="0"/>
      <w:marBottom w:val="0"/>
      <w:divBdr>
        <w:top w:val="none" w:sz="0" w:space="0" w:color="auto"/>
        <w:left w:val="none" w:sz="0" w:space="0" w:color="auto"/>
        <w:bottom w:val="none" w:sz="0" w:space="0" w:color="auto"/>
        <w:right w:val="none" w:sz="0" w:space="0" w:color="auto"/>
      </w:divBdr>
    </w:div>
    <w:div w:id="1511871638">
      <w:bodyDiv w:val="1"/>
      <w:marLeft w:val="0"/>
      <w:marRight w:val="0"/>
      <w:marTop w:val="0"/>
      <w:marBottom w:val="0"/>
      <w:divBdr>
        <w:top w:val="none" w:sz="0" w:space="0" w:color="auto"/>
        <w:left w:val="none" w:sz="0" w:space="0" w:color="auto"/>
        <w:bottom w:val="none" w:sz="0" w:space="0" w:color="auto"/>
        <w:right w:val="none" w:sz="0" w:space="0" w:color="auto"/>
      </w:divBdr>
    </w:div>
    <w:div w:id="1626158950">
      <w:bodyDiv w:val="1"/>
      <w:marLeft w:val="0"/>
      <w:marRight w:val="0"/>
      <w:marTop w:val="0"/>
      <w:marBottom w:val="0"/>
      <w:divBdr>
        <w:top w:val="none" w:sz="0" w:space="0" w:color="auto"/>
        <w:left w:val="none" w:sz="0" w:space="0" w:color="auto"/>
        <w:bottom w:val="none" w:sz="0" w:space="0" w:color="auto"/>
        <w:right w:val="none" w:sz="0" w:space="0" w:color="auto"/>
      </w:divBdr>
    </w:div>
    <w:div w:id="1722169226">
      <w:bodyDiv w:val="1"/>
      <w:marLeft w:val="0"/>
      <w:marRight w:val="0"/>
      <w:marTop w:val="0"/>
      <w:marBottom w:val="0"/>
      <w:divBdr>
        <w:top w:val="none" w:sz="0" w:space="0" w:color="auto"/>
        <w:left w:val="none" w:sz="0" w:space="0" w:color="auto"/>
        <w:bottom w:val="none" w:sz="0" w:space="0" w:color="auto"/>
        <w:right w:val="none" w:sz="0" w:space="0" w:color="auto"/>
      </w:divBdr>
    </w:div>
    <w:div w:id="1817641899">
      <w:bodyDiv w:val="1"/>
      <w:marLeft w:val="0"/>
      <w:marRight w:val="0"/>
      <w:marTop w:val="0"/>
      <w:marBottom w:val="0"/>
      <w:divBdr>
        <w:top w:val="none" w:sz="0" w:space="0" w:color="auto"/>
        <w:left w:val="none" w:sz="0" w:space="0" w:color="auto"/>
        <w:bottom w:val="none" w:sz="0" w:space="0" w:color="auto"/>
        <w:right w:val="none" w:sz="0" w:space="0" w:color="auto"/>
      </w:divBdr>
    </w:div>
    <w:div w:id="189021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49A554461C0F44AE2D613AD47A6B64" ma:contentTypeVersion="13" ma:contentTypeDescription="Create a new document." ma:contentTypeScope="" ma:versionID="63570935be03382d14462e44d16d1f31">
  <xsd:schema xmlns:xsd="http://www.w3.org/2001/XMLSchema" xmlns:xs="http://www.w3.org/2001/XMLSchema" xmlns:p="http://schemas.microsoft.com/office/2006/metadata/properties" xmlns:ns1="http://schemas.microsoft.com/sharepoint/v3" xmlns:ns2="2873a11b-9b80-429f-8611-a06ea650fcbe" xmlns:ns3="73d0d8c4-feef-45ef-b4a2-50408c6eb62f" targetNamespace="http://schemas.microsoft.com/office/2006/metadata/properties" ma:root="true" ma:fieldsID="2cc69ef84376ecea20309663c6b08c4d" ns1:_="" ns2:_="" ns3:_="">
    <xsd:import namespace="http://schemas.microsoft.com/sharepoint/v3"/>
    <xsd:import namespace="2873a11b-9b80-429f-8611-a06ea650fcbe"/>
    <xsd:import namespace="73d0d8c4-feef-45ef-b4a2-50408c6eb62f"/>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1:_ip_UnifiedCompliancePolicyProperties" minOccurs="0"/>
                <xsd:element ref="ns1:_ip_UnifiedCompliancePolicyUIAction" minOccurs="0"/>
                <xsd:element ref="ns3:MediaServiceMetadata" minOccurs="0"/>
                <xsd:element ref="ns3:MediaServiceFastMetadata" minOccurs="0"/>
                <xsd:element ref="ns3:MediaServiceAutoTags" minOccurs="0"/>
                <xsd:element ref="ns3:MediaServiceOCR" minOccurs="0"/>
                <xsd:element ref="ns3:MediaServiceDateTaken" minOccurs="0"/>
                <xsd:element ref="ns1:PublishingStartDate" minOccurs="0"/>
                <xsd:element ref="ns1:PublishingExpirationDat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element name="PublishingStartDate" ma:index="19"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20"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73a11b-9b80-429f-8611-a06ea650fcb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3d0d8c4-feef-45ef-b4a2-50408c6eb62f"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DateTaken" ma:index="18" nillable="true" ma:displayName="MediaServiceDateTaken" ma:description="" ma:hidden="true" ma:internalName="MediaServiceDateTaken" ma:readOnly="true">
      <xsd:simpleType>
        <xsd:restriction base="dms:Text"/>
      </xsd:simpleType>
    </xsd:element>
    <xsd:element name="MediaServiceLocation" ma:index="21"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320CA-ADC6-4D06-B4D6-033E2E894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873a11b-9b80-429f-8611-a06ea650fcbe"/>
    <ds:schemaRef ds:uri="73d0d8c4-feef-45ef-b4a2-50408c6eb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36AA89-D4B4-42EC-B20C-4D42335B233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8CEF80B-0CA2-49AF-A6FC-2C5E5124C6D2}">
  <ds:schemaRefs>
    <ds:schemaRef ds:uri="http://schemas.microsoft.com/sharepoint/v3/contenttype/forms"/>
  </ds:schemaRefs>
</ds:datastoreItem>
</file>

<file path=customXml/itemProps4.xml><?xml version="1.0" encoding="utf-8"?>
<ds:datastoreItem xmlns:ds="http://schemas.openxmlformats.org/officeDocument/2006/customXml" ds:itemID="{C6F9AF45-7A3B-45C3-B3E0-70DBDD22B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2018-02-20T10:23:00Z</dcterms:created>
  <dcterms:modified xsi:type="dcterms:W3CDTF">2018-04-04T23:41:00Z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0x0101008149A554461C0F44AE2D613AD47A6B64</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franvanh@microsoft.com</vt:lpwstr>
  </property>
  <property fmtid="{D5CDD505-2E9C-101B-9397-08002B2CF9AE}" pid="7" name="MSIP_Label_f42aa342-8706-4288-bd11-ebb85995028c_SetDate">
    <vt:lpwstr>2017-10-04T09:38:50.5320766+02:00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