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If I were prioritizing after tomorrow's client review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wouldn't throw anything away.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I'd make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WellPeps 2.0 polish pass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focusing on a handful of high-impact refinements: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vertical spacing between sections by 30–50%.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headline sizes across the site.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Introduce the new "working blue" as the primary interface color and reserve the bright blue for accents.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Simplify the Wellness Programs cards (less copy, more breathing room).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Enlarge lifestyle photography so it becomes a stronger design element.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Increase padding inside every card and content block.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Adopt the new typography pairing (Plus Jakarta Sans + Inter). 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Those changes wouldn't alter the site's structure or messaging, but they would move it noticeably closer to the polished, editorial feel you're seeing in Hims and Teladoc.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The one thing I would change first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looking at BetterHelp, Hims, and Teladoc together...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wouldn't change the homepage order.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wouldn't change the copy.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wouldn't even change most of the components.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I'd change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rhythm of the page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 of the homepage less as a brochure and more as a magazine.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section should have a moment where the eye gets to rest before introducing the next idea.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rhythm—created through spacing, larger imagery, restrained color, and simpler text blocks—is what makes BetterHelp, Hims, and Teladoc feel so contemporary. It isn't any single component; it's the pacing between them. I think that's the refinement that would have the biggest impact on WellPeps after your client review, without requiring you to throw away the work you've already done.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