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PART-1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done in the Services Tab of the DHCP Server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PART-2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Step-1: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R1&gt;en</w:t>
        <w:br/>
        <w:t xml:space="preserve">R1&gt;conf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R1(config)#interface gigabitEthernet 0/0</w:t>
        <w:br/>
        <w:t xml:space="preserve">R1(config-if)#ip helper-address 192.168.60.253</w:t>
        <w:br/>
        <w:t xml:space="preserve">R1(config-if)#exit</w:t>
        <w:br/>
        <w:t xml:space="preserve">R1(config)#exit</w:t>
        <w:br/>
        <w:t xml:space="preserve">R1#exit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Step-2: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 in PC1’s IP Configuration mode from Desktop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PART-3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Step-1: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Went to the Web Browser from Desktop of PC1 and typed the addresses cisco.com and publicsite.com. The results are shown below:</w:t>
      </w:r>
      <w:r>
        <w:object w:dxaOrig="10035" w:dyaOrig="5400">
          <v:rect xmlns:o="urn:schemas-microsoft-com:office:office" xmlns:v="urn:schemas-microsoft-com:vml" id="rectole0000000000" style="width:501.75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005" w:dyaOrig="5070">
          <v:rect xmlns:o="urn:schemas-microsoft-com:office:office" xmlns:v="urn:schemas-microsoft-com:vml" id="rectole0000000001" style="width:500.250000pt;height:25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