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00"/>
        <w:jc w:val="center"/>
      </w:pPr>
      <w:r>
        <w:rPr>
          <w:b/>
          <w:bCs/>
          <w:color w:val="1F3864"/>
          <w:sz w:val="44"/>
          <w:szCs w:val="44"/>
        </w:rPr>
        <w:t xml:space="preserve">TECHNICAL DESIGN DOCUMENT</w:t>
      </w:r>
    </w:p>
    <w:p>
      <w:pPr>
        <w:spacing w:after="60"/>
        <w:jc w:val="center"/>
      </w:pPr>
      <w:r>
        <w:rPr>
          <w:i/>
          <w:iCs/>
          <w:color w:val="2E74B5"/>
          <w:sz w:val="26"/>
          <w:szCs w:val="26"/>
        </w:rPr>
        <w:t xml:space="preserve">Predictive Cash-Flow &amp; Accounts Receivable System for MSMEs</w:t>
      </w:r>
    </w:p>
    <w:p>
      <w:pPr>
        <w:spacing w:after="500"/>
        <w:jc w:val="center"/>
      </w:pPr>
      <w:r>
        <w:rPr>
          <w:color w:val="595959"/>
          <w:sz w:val="19"/>
          <w:szCs w:val="19"/>
        </w:rPr>
        <w:t xml:space="preserve">Architecture, prediction methodology, action-optimization engine, and evaluation plan</w:t>
      </w:r>
    </w:p>
    <w:p>
      <w:pPr>
        <w:spacing w:after="40"/>
        <w:jc w:val="center"/>
      </w:pPr>
      <w:r>
        <w:rPr>
          <w:b/>
          <w:bCs/>
          <w:color w:val="1F3864"/>
          <w:sz w:val="22"/>
          <w:szCs w:val="22"/>
        </w:rPr>
        <w:t xml:space="preserve">Document scope</w:t>
      </w:r>
    </w:p>
    <w:p>
      <w:pPr>
        <w:spacing w:after="140" w:line="300"/>
      </w:pPr>
      <w:r>
        <w:rPr>
          <w:sz w:val="21"/>
          <w:szCs w:val="21"/>
        </w:rPr>
        <w:t xml:space="preserve">This document specifies how the system predicts, on what data basis, how prediction is made effective under sparse SME data, and — critically — how predictions are converted into ranked, automated, and financially-grounded actions rather than passive alerts. Design choices are traced back to patterns observed across production systems (Tesorio, HighRadius) and peer-reviewed methodology (survival-analysis literature, invoice-risk prioritization research, alternative-data credit scoring), so every component has a stated precedent rather than being invented from scratch.</w:t>
      </w:r>
    </w:p>
    <w:p>
      <w:r>
        <w:br w:type="page"/>
      </w:r>
    </w:p>
    <w:p>
      <w:pPr>
        <w:pStyle w:val="Heading1"/>
        <w:pBdr>
          <w:bottom w:val="single" w:color="2E74B5" w:sz="6" w:space="4"/>
        </w:pBdr>
        <w:spacing w:after="160" w:before="360"/>
      </w:pPr>
      <w:r>
        <w:rPr>
          <w:b/>
          <w:bCs/>
          <w:color w:val="1F3864"/>
          <w:sz w:val="30"/>
          <w:szCs w:val="30"/>
        </w:rPr>
        <w:t xml:space="preserve">1. Executive Summary</w:t>
      </w:r>
    </w:p>
    <w:p>
      <w:pPr>
        <w:spacing w:after="140" w:line="300"/>
      </w:pPr>
      <w:r>
        <w:rPr>
          <w:sz w:val="21"/>
          <w:szCs w:val="21"/>
        </w:rPr>
        <w:t xml:space="preserve">The system does not predict a single cash-flow number. It predicts a probability curve for every open invoice (when it will actually be paid), aggregates thousands of simulated futures into a distribution of possible cash positions, detects the dates and sizes of likely shortfalls, and then solves a small optimization problem to recommend the lowest-friction combination of actions that closes each projected gap. Every flagged risk carries an explanation and a confidence level. Every recommended action can be executed with one tap because the message itself is pre-drafted.</w:t>
      </w:r>
    </w:p>
    <w:p>
      <w:pPr>
        <w:pStyle w:val="Heading2"/>
        <w:spacing w:after="100" w:before="260"/>
      </w:pPr>
      <w:r>
        <w:rPr>
          <w:b/>
          <w:bCs/>
          <w:color w:val="2E74B5"/>
          <w:sz w:val="24"/>
          <w:szCs w:val="24"/>
        </w:rPr>
        <w:t xml:space="preserve">1.1  The four questions this document answers</w:t>
      </w:r>
    </w:p>
    <w:p>
      <w:pPr>
        <w:pStyle w:val="ListParagraph"/>
        <w:numPr>
          <w:ilvl w:val="0"/>
          <w:numId w:val="2"/>
        </w:numPr>
        <w:spacing w:after="70" w:line="280"/>
      </w:pPr>
      <w:r>
        <w:rPr>
          <w:b/>
          <w:bCs/>
          <w:sz w:val="21"/>
          <w:szCs w:val="21"/>
        </w:rPr>
        <w:t xml:space="preserve">On what basis do we predict? </w:t>
      </w:r>
      <w:r>
        <w:rPr>
          <w:sz w:val="21"/>
          <w:szCs w:val="21"/>
        </w:rPr>
        <w:t xml:space="preserve">Per-invoice survival curves (time-to-payment), built from invoice features, personal customer history, and — for new users — a cohort prior borrowed from similar businesses.</w:t>
      </w:r>
    </w:p>
    <w:p>
      <w:pPr>
        <w:pStyle w:val="ListParagraph"/>
        <w:numPr>
          <w:ilvl w:val="0"/>
          <w:numId w:val="2"/>
        </w:numPr>
        <w:spacing w:after="70" w:line="280"/>
      </w:pPr>
      <w:r>
        <w:rPr>
          <w:b/>
          <w:bCs/>
          <w:sz w:val="21"/>
          <w:szCs w:val="21"/>
        </w:rPr>
        <w:t xml:space="preserve">How do we make it effective under sparse data? </w:t>
      </w:r>
      <w:r>
        <w:rPr>
          <w:sz w:val="21"/>
          <w:szCs w:val="21"/>
        </w:rPr>
        <w:t xml:space="preserve">Bayesian blending between personal and cohort models, continuous retraining on real outcomes, and explicit uncertainty bands instead of false precision.</w:t>
      </w:r>
    </w:p>
    <w:p>
      <w:pPr>
        <w:pStyle w:val="ListParagraph"/>
        <w:numPr>
          <w:ilvl w:val="0"/>
          <w:numId w:val="2"/>
        </w:numPr>
        <w:spacing w:after="70" w:line="280"/>
      </w:pPr>
      <w:r>
        <w:rPr>
          <w:b/>
          <w:bCs/>
          <w:sz w:val="21"/>
          <w:szCs w:val="21"/>
        </w:rPr>
        <w:t xml:space="preserve">How do we suggest actions? </w:t>
      </w:r>
      <w:r>
        <w:rPr>
          <w:sz w:val="21"/>
          <w:szCs w:val="21"/>
        </w:rPr>
        <w:t xml:space="preserve">Not a static rule list — a constrained optimization over chase/delay/finance levers, ranked by an Expected-Risk score (value x probability x urgency).</w:t>
      </w:r>
    </w:p>
    <w:p>
      <w:pPr>
        <w:pStyle w:val="ListParagraph"/>
        <w:numPr>
          <w:ilvl w:val="0"/>
          <w:numId w:val="2"/>
        </w:numPr>
        <w:spacing w:after="70" w:line="280"/>
      </w:pPr>
      <w:r>
        <w:rPr>
          <w:b/>
          <w:bCs/>
          <w:sz w:val="21"/>
          <w:szCs w:val="21"/>
        </w:rPr>
        <w:t xml:space="preserve">What else is needed beyond predict+suggest? </w:t>
      </w:r>
      <w:r>
        <w:rPr>
          <w:sz w:val="21"/>
          <w:szCs w:val="21"/>
        </w:rPr>
        <w:t xml:space="preserve">Explainability, automated and timed message drafting, cohort benchmarking as a data moat, an embedded-financing bridge, and business-impact metrics for evaluation — detailed in Section 8.</w:t>
      </w:r>
    </w:p>
    <w:p>
      <w:r>
        <w:br w:type="page"/>
      </w:r>
    </w:p>
    <w:p>
      <w:pPr>
        <w:pStyle w:val="Heading1"/>
        <w:pBdr>
          <w:bottom w:val="single" w:color="2E74B5" w:sz="6" w:space="4"/>
        </w:pBdr>
        <w:spacing w:after="160" w:before="360"/>
      </w:pPr>
      <w:r>
        <w:rPr>
          <w:b/>
          <w:bCs/>
          <w:color w:val="1F3864"/>
          <w:sz w:val="30"/>
          <w:szCs w:val="30"/>
        </w:rPr>
        <w:t xml:space="preserve">2. System Architecture</w:t>
      </w:r>
    </w:p>
    <w:p>
      <w:pPr>
        <w:spacing w:after="140" w:line="300"/>
      </w:pPr>
      <w:r>
        <w:rPr>
          <w:sz w:val="21"/>
          <w:szCs w:val="21"/>
        </w:rPr>
        <w:t xml:space="preserve">The pipeline is organized into layers so each stage can be built, tested, and demoed independently, and so the system degrades gracefully when data is incomplete (a lesson taken directly from the modular design of deployed SME cash-flow systems, which keep producing forecasts even when whole data categories are missing).</w:t>
      </w:r>
    </w:p>
    <w:p>
      <w:pPr>
        <w:spacing w:after="100" w:before="200"/>
        <w:jc w:val="center"/>
      </w:pPr>
      <w:r>
        <w:drawing>
          <wp:inline distT="0" distB="0" distL="0" distR="0">
            <wp:extent cx="6096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71900"/>
                    </a:xfrm>
                    <a:prstGeom prst="rect">
                      <a:avLst/>
                    </a:prstGeom>
                  </pic:spPr>
                </pic:pic>
              </a:graphicData>
            </a:graphic>
          </wp:inline>
        </w:drawing>
      </w:r>
    </w:p>
    <w:p>
      <w:pPr>
        <w:spacing w:after="220" w:before="60"/>
      </w:pPr>
      <w:r>
        <w:rPr>
          <w:i/>
          <w:iCs/>
          <w:color w:val="595959"/>
          <w:sz w:val="18"/>
          <w:szCs w:val="18"/>
        </w:rPr>
        <w:t xml:space="preserve">Figure 1. End-to-end architecture: data sources -&gt; AR survival model -&gt; Monte Carlo cash-flow simulator -&gt; shortfall/risk detector -&gt; action optimization engine -&gt; automated delivery, with an explainability layer running alongside and a continuous learning loop feeding outcomes back into Layer 1.</w:t>
      </w:r>
    </w:p>
    <w:p>
      <w:pPr>
        <w:pStyle w:val="Heading2"/>
        <w:spacing w:after="100" w:before="260"/>
      </w:pPr>
      <w:r>
        <w:rPr>
          <w:b/>
          <w:bCs/>
          <w:color w:val="2E74B5"/>
          <w:sz w:val="24"/>
          <w:szCs w:val="24"/>
        </w:rPr>
        <w:t xml:space="preserve">2.1  Component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00"/>
      </w:tblGrid>
      <w:tr>
        <w:trPr>
          <w:tblHeader/>
        </w:trPr>
        <w:tc>
          <w:tcPr>
            <w:tcW w:type="dxa" w:w="2300"/>
            <w:shd w:fill="1F3864" w:val="clear"/>
            <w:tcMar>
              <w:top w:type="dxa" w:w="70"/>
              <w:left w:type="dxa" w:w="100"/>
              <w:bottom w:type="dxa" w:w="70"/>
              <w:right w:type="dxa" w:w="100"/>
            </w:tcMar>
          </w:tcPr>
          <w:p>
            <w:pPr>
              <w:jc w:val="center"/>
            </w:pPr>
            <w:r>
              <w:rPr>
                <w:b/>
                <w:bCs/>
                <w:color w:val="FFFFFF"/>
                <w:sz w:val="19"/>
                <w:szCs w:val="19"/>
              </w:rPr>
              <w:t xml:space="preserve">Component</w:t>
            </w:r>
          </w:p>
        </w:tc>
        <w:tc>
          <w:tcPr>
            <w:tcW w:type="dxa" w:w="3600"/>
            <w:shd w:fill="1F3864" w:val="clear"/>
            <w:tcMar>
              <w:top w:type="dxa" w:w="70"/>
              <w:left w:type="dxa" w:w="100"/>
              <w:bottom w:type="dxa" w:w="70"/>
              <w:right w:type="dxa" w:w="100"/>
            </w:tcMar>
          </w:tcPr>
          <w:p>
            <w:pPr>
              <w:jc w:val="center"/>
            </w:pPr>
            <w:r>
              <w:rPr>
                <w:b/>
                <w:bCs/>
                <w:color w:val="FFFFFF"/>
                <w:sz w:val="19"/>
                <w:szCs w:val="19"/>
              </w:rPr>
              <w:t xml:space="preserve">Responsibility</w:t>
            </w:r>
          </w:p>
        </w:tc>
        <w:tc>
          <w:tcPr>
            <w:tcW w:type="dxa" w:w="3400"/>
            <w:shd w:fill="1F3864" w:val="clear"/>
            <w:tcMar>
              <w:top w:type="dxa" w:w="70"/>
              <w:left w:type="dxa" w:w="100"/>
              <w:bottom w:type="dxa" w:w="70"/>
              <w:right w:type="dxa" w:w="100"/>
            </w:tcMar>
          </w:tcPr>
          <w:p>
            <w:pPr>
              <w:jc w:val="center"/>
            </w:pPr>
            <w:r>
              <w:rPr>
                <w:b/>
                <w:bCs/>
                <w:color w:val="FFFFFF"/>
                <w:sz w:val="19"/>
                <w:szCs w:val="19"/>
              </w:rPr>
              <w:t xml:space="preserve">Precedent it borrows from</w:t>
            </w:r>
          </w:p>
        </w:tc>
      </w:tr>
      <w:tr>
        <w:tc>
          <w:tcPr>
            <w:tcW w:type="dxa" w:w="2300"/>
            <w:shd w:fill="F2F6FA" w:val="clear"/>
            <w:tcMar>
              <w:top w:type="dxa" w:w="70"/>
              <w:left w:type="dxa" w:w="100"/>
              <w:bottom w:type="dxa" w:w="70"/>
              <w:right w:type="dxa" w:w="100"/>
            </w:tcMar>
          </w:tcPr>
          <w:p>
            <w:pPr>
              <w:jc w:val="left"/>
            </w:pPr>
            <w:r>
              <w:rPr>
                <w:b w:val="false"/>
                <w:bCs w:val="false"/>
                <w:color w:val="000000"/>
                <w:sz w:val="19"/>
                <w:szCs w:val="19"/>
              </w:rPr>
              <w:t xml:space="preserve">Cohort Prior Engine</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Provides a baseline payment-behavior curve for businesses/customers with little or no history, segmented by industry, size bracket, and region.</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Alternative/thin-file credit scoring (e.g. CreditVidya's approach to first-time borrowers) — never block on "not enough data."</w:t>
            </w:r>
          </w:p>
        </w:tc>
      </w:tr>
      <w:tr>
        <w:tc>
          <w:tcPr>
            <w:tcW w:type="dxa" w:w="2300"/>
            <w:shd w:fill="FFFFFF" w:val="clear"/>
            <w:tcMar>
              <w:top w:type="dxa" w:w="70"/>
              <w:left w:type="dxa" w:w="100"/>
              <w:bottom w:type="dxa" w:w="70"/>
              <w:right w:type="dxa" w:w="100"/>
            </w:tcMar>
          </w:tcPr>
          <w:p>
            <w:pPr>
              <w:jc w:val="left"/>
            </w:pPr>
            <w:r>
              <w:rPr>
                <w:b w:val="false"/>
                <w:bCs w:val="false"/>
                <w:color w:val="000000"/>
                <w:sz w:val="19"/>
                <w:szCs w:val="19"/>
              </w:rPr>
              <w:t xml:space="preserve">Layer 1: AR Survival Model</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Predicts a full probability-of-payment curve over time for every open invoice, blending personal and cohort signal.</w:t>
            </w:r>
          </w:p>
        </w:tc>
        <w:tc>
          <w:tcPr>
            <w:tcW w:type="dxa" w:w="3400"/>
            <w:shd w:fill="FFFFFF" w:val="clear"/>
            <w:tcMar>
              <w:top w:type="dxa" w:w="70"/>
              <w:left w:type="dxa" w:w="100"/>
              <w:bottom w:type="dxa" w:w="70"/>
              <w:right w:type="dxa" w:w="100"/>
            </w:tcMar>
          </w:tcPr>
          <w:p>
            <w:pPr>
              <w:jc w:val="left"/>
            </w:pPr>
            <w:r>
              <w:rPr>
                <w:b w:val="false"/>
                <w:bCs w:val="false"/>
                <w:color w:val="000000"/>
                <w:sz w:val="19"/>
                <w:szCs w:val="19"/>
              </w:rPr>
              <w:t xml:space="preserve">Survival-analysis literature (Cox / Random Survival Forests / discrete-time hazard models with customer random effects); Tesorio's day-level per-invoice predictions.</w:t>
            </w:r>
          </w:p>
        </w:tc>
      </w:tr>
      <w:tr>
        <w:tc>
          <w:tcPr>
            <w:tcW w:type="dxa" w:w="2300"/>
            <w:shd w:fill="F2F6FA" w:val="clear"/>
            <w:tcMar>
              <w:top w:type="dxa" w:w="70"/>
              <w:left w:type="dxa" w:w="100"/>
              <w:bottom w:type="dxa" w:w="70"/>
              <w:right w:type="dxa" w:w="100"/>
            </w:tcMar>
          </w:tcPr>
          <w:p>
            <w:pPr>
              <w:jc w:val="left"/>
            </w:pPr>
            <w:r>
              <w:rPr>
                <w:b w:val="false"/>
                <w:bCs w:val="false"/>
                <w:color w:val="000000"/>
                <w:sz w:val="19"/>
                <w:szCs w:val="19"/>
              </w:rPr>
              <w:t xml:space="preserve">Layer 2: Monte Carlo Cash-Flow Simulator</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Samples thousands of possible futures from the Layer-1 curves plus known payables, producing a distribution of future cash positions rather than one number.</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Treasury "Cash-Flow-at-Risk" practice; Monte Carlo methods for cash flow forecasting under correlated uncertainty.</w:t>
            </w:r>
          </w:p>
        </w:tc>
      </w:tr>
      <w:tr>
        <w:tc>
          <w:tcPr>
            <w:tcW w:type="dxa" w:w="2300"/>
            <w:shd w:fill="FFFFFF" w:val="clear"/>
            <w:tcMar>
              <w:top w:type="dxa" w:w="70"/>
              <w:left w:type="dxa" w:w="100"/>
              <w:bottom w:type="dxa" w:w="70"/>
              <w:right w:type="dxa" w:w="100"/>
            </w:tcMar>
          </w:tcPr>
          <w:p>
            <w:pPr>
              <w:jc w:val="left"/>
            </w:pPr>
            <w:r>
              <w:rPr>
                <w:b w:val="false"/>
                <w:bCs w:val="false"/>
                <w:color w:val="000000"/>
                <w:sz w:val="19"/>
                <w:szCs w:val="19"/>
              </w:rPr>
              <w:t xml:space="preserve">Shortfall &amp; Risk Detector</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Converts the distribution into a probability-of-shortfall per future date, and scores every invoice by Expected Risk.</w:t>
            </w:r>
          </w:p>
        </w:tc>
        <w:tc>
          <w:tcPr>
            <w:tcW w:type="dxa" w:w="3400"/>
            <w:shd w:fill="FFFFFF" w:val="clear"/>
            <w:tcMar>
              <w:top w:type="dxa" w:w="70"/>
              <w:left w:type="dxa" w:w="100"/>
              <w:bottom w:type="dxa" w:w="70"/>
              <w:right w:type="dxa" w:w="100"/>
            </w:tcMar>
          </w:tcPr>
          <w:p>
            <w:pPr>
              <w:jc w:val="left"/>
            </w:pPr>
            <w:r>
              <w:rPr>
                <w:b w:val="false"/>
                <w:bCs w:val="false"/>
                <w:color w:val="000000"/>
                <w:sz w:val="19"/>
                <w:szCs w:val="19"/>
              </w:rPr>
              <w:t xml:space="preserve">Appel et al.'s Expected Risk formula (Value x P(late)), adapted with an urgency multiplier.</w:t>
            </w:r>
          </w:p>
        </w:tc>
      </w:tr>
      <w:tr>
        <w:tc>
          <w:tcPr>
            <w:tcW w:type="dxa" w:w="2300"/>
            <w:shd w:fill="F2F6FA" w:val="clear"/>
            <w:tcMar>
              <w:top w:type="dxa" w:w="70"/>
              <w:left w:type="dxa" w:w="100"/>
              <w:bottom w:type="dxa" w:w="70"/>
              <w:right w:type="dxa" w:w="100"/>
            </w:tcMar>
          </w:tcPr>
          <w:p>
            <w:pPr>
              <w:jc w:val="left"/>
            </w:pPr>
            <w:r>
              <w:rPr>
                <w:b w:val="false"/>
                <w:bCs w:val="false"/>
                <w:color w:val="000000"/>
                <w:sz w:val="19"/>
                <w:szCs w:val="19"/>
              </w:rPr>
              <w:t xml:space="preserve">Action Optimization Engine</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Solves a constrained optimization to select the minimum-friction combination of actions that closes a detected gap.</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Original contribution — no reference system exposes this as an explicit optimization; most treat it as a static playbook. This is our differentiator (Section 6).</w:t>
            </w:r>
          </w:p>
        </w:tc>
      </w:tr>
      <w:tr>
        <w:tc>
          <w:tcPr>
            <w:tcW w:type="dxa" w:w="2300"/>
            <w:shd w:fill="FFFFFF" w:val="clear"/>
            <w:tcMar>
              <w:top w:type="dxa" w:w="70"/>
              <w:left w:type="dxa" w:w="100"/>
              <w:bottom w:type="dxa" w:w="70"/>
              <w:right w:type="dxa" w:w="100"/>
            </w:tcMar>
          </w:tcPr>
          <w:p>
            <w:pPr>
              <w:jc w:val="left"/>
            </w:pPr>
            <w:r>
              <w:rPr>
                <w:b w:val="false"/>
                <w:bCs w:val="false"/>
                <w:color w:val="000000"/>
                <w:sz w:val="19"/>
                <w:szCs w:val="19"/>
              </w:rPr>
              <w:t xml:space="preserve">Explainability Layer</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Surfaces the top contributing factors and a confidence band for every flagged invoice or shortfall.</w:t>
            </w:r>
          </w:p>
        </w:tc>
        <w:tc>
          <w:tcPr>
            <w:tcW w:type="dxa" w:w="3400"/>
            <w:shd w:fill="FFFFFF" w:val="clear"/>
            <w:tcMar>
              <w:top w:type="dxa" w:w="70"/>
              <w:left w:type="dxa" w:w="100"/>
              <w:bottom w:type="dxa" w:w="70"/>
              <w:right w:type="dxa" w:w="100"/>
            </w:tcMar>
          </w:tcPr>
          <w:p>
            <w:pPr>
              <w:jc w:val="left"/>
            </w:pPr>
            <w:r>
              <w:rPr>
                <w:b w:val="false"/>
                <w:bCs w:val="false"/>
                <w:color w:val="000000"/>
                <w:sz w:val="19"/>
                <w:szCs w:val="19"/>
              </w:rPr>
              <w:t xml:space="preserve">Standard responsible-ML practice; a direct answer to the deployed system's own finding that users wanted to see *why*, not just a number.</w:t>
            </w:r>
          </w:p>
        </w:tc>
      </w:tr>
      <w:tr>
        <w:tc>
          <w:tcPr>
            <w:tcW w:type="dxa" w:w="2300"/>
            <w:shd w:fill="F2F6FA" w:val="clear"/>
            <w:tcMar>
              <w:top w:type="dxa" w:w="70"/>
              <w:left w:type="dxa" w:w="100"/>
              <w:bottom w:type="dxa" w:w="70"/>
              <w:right w:type="dxa" w:w="100"/>
            </w:tcMar>
          </w:tcPr>
          <w:p>
            <w:pPr>
              <w:jc w:val="left"/>
            </w:pPr>
            <w:r>
              <w:rPr>
                <w:b w:val="false"/>
                <w:bCs w:val="false"/>
                <w:color w:val="000000"/>
                <w:sz w:val="19"/>
                <w:szCs w:val="19"/>
              </w:rPr>
              <w:t xml:space="preserve">Automated Delivery</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Drafts the actual outreach message (WhatsApp/SMS/email) and times its send, rather than leaving the user to write it.</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HighRadius's AI-drafted dunning emails sent at behaviorally optimal times; Tesorio's automated follow-up agents.</w:t>
            </w:r>
          </w:p>
        </w:tc>
      </w:tr>
      <w:tr>
        <w:tc>
          <w:tcPr>
            <w:tcW w:type="dxa" w:w="2300"/>
            <w:shd w:fill="FFFFFF" w:val="clear"/>
            <w:tcMar>
              <w:top w:type="dxa" w:w="70"/>
              <w:left w:type="dxa" w:w="100"/>
              <w:bottom w:type="dxa" w:w="70"/>
              <w:right w:type="dxa" w:w="100"/>
            </w:tcMar>
          </w:tcPr>
          <w:p>
            <w:pPr>
              <w:jc w:val="left"/>
            </w:pPr>
            <w:r>
              <w:rPr>
                <w:b w:val="false"/>
                <w:bCs w:val="false"/>
                <w:color w:val="000000"/>
                <w:sz w:val="19"/>
                <w:szCs w:val="19"/>
              </w:rPr>
              <w:t xml:space="preserve">Continuous Learning Loop</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Retrains the personal model per customer on real outcomes and nudges the cohort prior; the system measurably sharpens with use.</w:t>
            </w:r>
          </w:p>
        </w:tc>
        <w:tc>
          <w:tcPr>
            <w:tcW w:type="dxa" w:w="3400"/>
            <w:shd w:fill="FFFFFF" w:val="clear"/>
            <w:tcMar>
              <w:top w:type="dxa" w:w="70"/>
              <w:left w:type="dxa" w:w="100"/>
              <w:bottom w:type="dxa" w:w="70"/>
              <w:right w:type="dxa" w:w="100"/>
            </w:tcMar>
          </w:tcPr>
          <w:p>
            <w:pPr>
              <w:jc w:val="left"/>
            </w:pPr>
            <w:r>
              <w:rPr>
                <w:b w:val="false"/>
                <w:bCs w:val="false"/>
                <w:color w:val="000000"/>
                <w:sz w:val="19"/>
                <w:szCs w:val="19"/>
              </w:rPr>
              <w:t xml:space="preserve">Standard online/incremental learning practice applied to the survival-model weights.</w:t>
            </w:r>
          </w:p>
        </w:tc>
      </w:tr>
      <w:tr>
        <w:tc>
          <w:tcPr>
            <w:tcW w:type="dxa" w:w="2300"/>
            <w:shd w:fill="F2F6FA" w:val="clear"/>
            <w:tcMar>
              <w:top w:type="dxa" w:w="70"/>
              <w:left w:type="dxa" w:w="100"/>
              <w:bottom w:type="dxa" w:w="70"/>
              <w:right w:type="dxa" w:w="100"/>
            </w:tcMar>
          </w:tcPr>
          <w:p>
            <w:pPr>
              <w:jc w:val="left"/>
            </w:pPr>
            <w:r>
              <w:rPr>
                <w:b w:val="false"/>
                <w:bCs w:val="false"/>
                <w:color w:val="000000"/>
                <w:sz w:val="19"/>
                <w:szCs w:val="19"/>
              </w:rPr>
              <w:t xml:space="preserve">Embedded Financing Bridge</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When chase/delay levers can't close a gap, surfaces a pre-qualified financing or invoice-discounting estimate.</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Embedded-lending fintech pattern (Fundbox/BlueVine-style); closes the loop our own Problem Statement identified as missing from TReDS-style platforms (reactive, not integrated).</w:t>
            </w:r>
          </w:p>
        </w:tc>
      </w:tr>
    </w:tbl>
    <w:p>
      <w:r>
        <w:br w:type="page"/>
      </w:r>
    </w:p>
    <w:p>
      <w:pPr>
        <w:pStyle w:val="Heading1"/>
        <w:pBdr>
          <w:bottom w:val="single" w:color="2E74B5" w:sz="6" w:space="4"/>
        </w:pBdr>
        <w:spacing w:after="160" w:before="360"/>
      </w:pPr>
      <w:r>
        <w:rPr>
          <w:b/>
          <w:bCs/>
          <w:color w:val="1F3864"/>
          <w:sz w:val="30"/>
          <w:szCs w:val="30"/>
        </w:rPr>
        <w:t xml:space="preserve">3. Data Schema</w:t>
      </w:r>
    </w:p>
    <w:p>
      <w:pPr>
        <w:spacing w:after="140" w:line="300"/>
      </w:pPr>
      <w:r>
        <w:rPr>
          <w:sz w:val="21"/>
          <w:szCs w:val="21"/>
        </w:rPr>
        <w:t xml:space="preserve">Minimal viable schema — five tables, deliberately small enough to build in a hackathon timeframe while supporting every model in Section 4.</w:t>
      </w:r>
    </w:p>
    <w:p>
      <w:pPr>
        <w:pStyle w:val="Heading2"/>
        <w:spacing w:after="100" w:before="260"/>
      </w:pPr>
      <w:r>
        <w:rPr>
          <w:b/>
          <w:bCs/>
          <w:color w:val="2E74B5"/>
          <w:sz w:val="24"/>
          <w:szCs w:val="24"/>
        </w:rPr>
        <w:t xml:space="preserve">3.1  Core tables</w:t>
      </w:r>
    </w:p>
    <w:p>
      <w:pPr>
        <w:spacing w:after="80" w:before="180"/>
      </w:pPr>
      <w:r>
        <w:rPr>
          <w:b/>
          <w:bCs/>
          <w:color w:val="1F3864"/>
          <w:sz w:val="21"/>
          <w:szCs w:val="21"/>
        </w:rPr>
        <w:t xml:space="preserve">invoices</w:t>
      </w:r>
    </w:p>
    <w:p>
      <w:pPr>
        <w:pBdr>
          <w:left w:val="single" w:color="B0B0B0" w:sz="12" w:space="8"/>
        </w:pBdr>
        <w:shd w:fill="F2F2F2" w:val="clear"/>
        <w:spacing w:after="120" w:line="264"/>
        <w:ind w:left="200"/>
      </w:pPr>
      <w:r>
        <w:rPr>
          <w:rFonts w:ascii="Consolas" w:cs="Consolas" w:eastAsia="Consolas" w:hAnsi="Consolas"/>
          <w:sz w:val="20"/>
          <w:szCs w:val="20"/>
        </w:rPr>
        <w:t xml:space="preserve">invoice_id, business_id, customer_id, amount, issue_date, due_date,</w:t>
      </w:r>
      <w:r>
        <w:br/>
        <w:t xml:space="preserve"/>
      </w:r>
      <w:r>
        <w:rPr>
          <w:rFonts w:ascii="Consolas" w:cs="Consolas" w:eastAsia="Consolas" w:hAnsi="Consolas"/>
          <w:sz w:val="20"/>
          <w:szCs w:val="20"/>
        </w:rPr>
        <w:t xml:space="preserve">payment_terms_days, category, status (open/paid/written_off),</w:t>
      </w:r>
      <w:r>
        <w:br/>
        <w:t xml:space="preserve"/>
      </w:r>
      <w:r>
        <w:rPr>
          <w:rFonts w:ascii="Consolas" w:cs="Consolas" w:eastAsia="Consolas" w:hAnsi="Consolas"/>
          <w:sz w:val="20"/>
          <w:szCs w:val="20"/>
        </w:rPr>
        <w:t xml:space="preserve">actual_payment_date (nullable), created_at</w:t>
      </w:r>
    </w:p>
    <w:p>
      <w:pPr>
        <w:spacing w:after="80" w:before="180"/>
      </w:pPr>
      <w:r>
        <w:rPr>
          <w:b/>
          <w:bCs/>
          <w:color w:val="1F3864"/>
          <w:sz w:val="21"/>
          <w:szCs w:val="21"/>
        </w:rPr>
        <w:t xml:space="preserve">customers</w:t>
      </w:r>
    </w:p>
    <w:p>
      <w:pPr>
        <w:pBdr>
          <w:left w:val="single" w:color="B0B0B0" w:sz="12" w:space="8"/>
        </w:pBdr>
        <w:shd w:fill="F2F2F2" w:val="clear"/>
        <w:spacing w:after="120" w:line="264"/>
        <w:ind w:left="200"/>
      </w:pPr>
      <w:r>
        <w:rPr>
          <w:rFonts w:ascii="Consolas" w:cs="Consolas" w:eastAsia="Consolas" w:hAnsi="Consolas"/>
          <w:sz w:val="20"/>
          <w:szCs w:val="20"/>
        </w:rPr>
        <w:t xml:space="preserve">customer_id, business_id, industry_tag, first_invoice_date,</w:t>
      </w:r>
      <w:r>
        <w:br/>
        <w:t xml:space="preserve"/>
      </w:r>
      <w:r>
        <w:rPr>
          <w:rFonts w:ascii="Consolas" w:cs="Consolas" w:eastAsia="Consolas" w:hAnsi="Consolas"/>
          <w:sz w:val="20"/>
          <w:szCs w:val="20"/>
        </w:rPr>
        <w:t xml:space="preserve">total_invoices_count, late_payment_ratio (rolling),</w:t>
      </w:r>
      <w:r>
        <w:br/>
        <w:t xml:space="preserve"/>
      </w:r>
      <w:r>
        <w:rPr>
          <w:rFonts w:ascii="Consolas" w:cs="Consolas" w:eastAsia="Consolas" w:hAnsi="Consolas"/>
          <w:sz w:val="20"/>
          <w:szCs w:val="20"/>
        </w:rPr>
        <w:t xml:space="preserve">avg_delay_days (rolling, short-window + long-window),</w:t>
      </w:r>
      <w:r>
        <w:br/>
        <w:t xml:space="preserve"/>
      </w:r>
      <w:r>
        <w:rPr>
          <w:rFonts w:ascii="Consolas" w:cs="Consolas" w:eastAsia="Consolas" w:hAnsi="Consolas"/>
          <w:sz w:val="20"/>
          <w:szCs w:val="20"/>
        </w:rPr>
        <w:t xml:space="preserve">personal_hazard_offset (learned parameter)</w:t>
      </w:r>
    </w:p>
    <w:p>
      <w:pPr>
        <w:spacing w:after="80" w:before="180"/>
      </w:pPr>
      <w:r>
        <w:rPr>
          <w:b/>
          <w:bCs/>
          <w:color w:val="1F3864"/>
          <w:sz w:val="21"/>
          <w:szCs w:val="21"/>
        </w:rPr>
        <w:t xml:space="preserve">payables</w:t>
      </w:r>
    </w:p>
    <w:p>
      <w:pPr>
        <w:pBdr>
          <w:left w:val="single" w:color="B0B0B0" w:sz="12" w:space="8"/>
        </w:pBdr>
        <w:shd w:fill="F2F2F2" w:val="clear"/>
        <w:spacing w:after="120" w:line="264"/>
        <w:ind w:left="200"/>
      </w:pPr>
      <w:r>
        <w:rPr>
          <w:rFonts w:ascii="Consolas" w:cs="Consolas" w:eastAsia="Consolas" w:hAnsi="Consolas"/>
          <w:sz w:val="20"/>
          <w:szCs w:val="20"/>
        </w:rPr>
        <w:t xml:space="preserve">payable_id, business_id, type (salary/rent/emi/supplier/other),</w:t>
      </w:r>
      <w:r>
        <w:br/>
        <w:t xml:space="preserve"/>
      </w:r>
      <w:r>
        <w:rPr>
          <w:rFonts w:ascii="Consolas" w:cs="Consolas" w:eastAsia="Consolas" w:hAnsi="Consolas"/>
          <w:sz w:val="20"/>
          <w:szCs w:val="20"/>
        </w:rPr>
        <w:t xml:space="preserve">amount, due_date, is_flexible (bool), flex_window_days,</w:t>
      </w:r>
      <w:r>
        <w:br/>
        <w:t xml:space="preserve"/>
      </w:r>
      <w:r>
        <w:rPr>
          <w:rFonts w:ascii="Consolas" w:cs="Consolas" w:eastAsia="Consolas" w:hAnsi="Consolas"/>
          <w:sz w:val="20"/>
          <w:szCs w:val="20"/>
        </w:rPr>
        <w:t xml:space="preserve">relationship_sensitivity_score (1-5)</w:t>
      </w:r>
    </w:p>
    <w:p>
      <w:pPr>
        <w:spacing w:after="80" w:before="180"/>
      </w:pPr>
      <w:r>
        <w:rPr>
          <w:b/>
          <w:bCs/>
          <w:color w:val="1F3864"/>
          <w:sz w:val="21"/>
          <w:szCs w:val="21"/>
        </w:rPr>
        <w:t xml:space="preserve">business_profile</w:t>
      </w:r>
    </w:p>
    <w:p>
      <w:pPr>
        <w:pBdr>
          <w:left w:val="single" w:color="B0B0B0" w:sz="12" w:space="8"/>
        </w:pBdr>
        <w:shd w:fill="F2F2F2" w:val="clear"/>
        <w:spacing w:after="120" w:line="264"/>
        <w:ind w:left="200"/>
      </w:pPr>
      <w:r>
        <w:rPr>
          <w:rFonts w:ascii="Consolas" w:cs="Consolas" w:eastAsia="Consolas" w:hAnsi="Consolas"/>
          <w:sz w:val="20"/>
          <w:szCs w:val="20"/>
        </w:rPr>
        <w:t xml:space="preserve">business_id, industry_tag, size_bracket, region,</w:t>
      </w:r>
      <w:r>
        <w:br/>
        <w:t xml:space="preserve"/>
      </w:r>
      <w:r>
        <w:rPr>
          <w:rFonts w:ascii="Consolas" w:cs="Consolas" w:eastAsia="Consolas" w:hAnsi="Consolas"/>
          <w:sz w:val="20"/>
          <w:szCs w:val="20"/>
        </w:rPr>
        <w:t xml:space="preserve">registration_date, cohort_id (assigned), confidence_stage</w:t>
      </w:r>
      <w:r>
        <w:br/>
        <w:t xml:space="preserve"/>
      </w:r>
      <w:r>
        <w:rPr>
          <w:rFonts w:ascii="Consolas" w:cs="Consolas" w:eastAsia="Consolas" w:hAnsi="Consolas"/>
          <w:sz w:val="20"/>
          <w:szCs w:val="20"/>
        </w:rPr>
        <w:t xml:space="preserve">  (cold_start / warming_up / personalized)</w:t>
      </w:r>
    </w:p>
    <w:p>
      <w:pPr>
        <w:spacing w:after="80" w:before="180"/>
      </w:pPr>
      <w:r>
        <w:rPr>
          <w:b/>
          <w:bCs/>
          <w:color w:val="1F3864"/>
          <w:sz w:val="21"/>
          <w:szCs w:val="21"/>
        </w:rPr>
        <w:t xml:space="preserve">prediction_log  (for continuous learning + evaluation)</w:t>
      </w:r>
    </w:p>
    <w:p>
      <w:pPr>
        <w:pBdr>
          <w:left w:val="single" w:color="B0B0B0" w:sz="12" w:space="8"/>
        </w:pBdr>
        <w:shd w:fill="F2F2F2" w:val="clear"/>
        <w:spacing w:after="120" w:line="264"/>
        <w:ind w:left="200"/>
      </w:pPr>
      <w:r>
        <w:rPr>
          <w:rFonts w:ascii="Consolas" w:cs="Consolas" w:eastAsia="Consolas" w:hAnsi="Consolas"/>
          <w:sz w:val="20"/>
          <w:szCs w:val="20"/>
        </w:rPr>
        <w:t xml:space="preserve">log_id, invoice_id, predicted_curve (array of P(paid) by day),</w:t>
      </w:r>
      <w:r>
        <w:br/>
        <w:t xml:space="preserve"/>
      </w:r>
      <w:r>
        <w:rPr>
          <w:rFonts w:ascii="Consolas" w:cs="Consolas" w:eastAsia="Consolas" w:hAnsi="Consolas"/>
          <w:sz w:val="20"/>
          <w:szCs w:val="20"/>
        </w:rPr>
        <w:t xml:space="preserve">predicted_at, actual_outcome_date (filled in later),</w:t>
      </w:r>
      <w:r>
        <w:br/>
        <w:t xml:space="preserve"/>
      </w:r>
      <w:r>
        <w:rPr>
          <w:rFonts w:ascii="Consolas" w:cs="Consolas" w:eastAsia="Consolas" w:hAnsi="Consolas"/>
          <w:sz w:val="20"/>
          <w:szCs w:val="20"/>
        </w:rPr>
        <w:t xml:space="preserve">model_version, cohort_weight_used</w:t>
      </w:r>
    </w:p>
    <w:p>
      <w:pPr>
        <w:pStyle w:val="Heading2"/>
        <w:spacing w:after="100" w:before="260"/>
      </w:pPr>
      <w:r>
        <w:rPr>
          <w:b/>
          <w:bCs/>
          <w:color w:val="2E74B5"/>
          <w:sz w:val="24"/>
          <w:szCs w:val="24"/>
        </w:rPr>
        <w:t xml:space="preserve">3.2  Why this shape matters</w:t>
      </w:r>
    </w:p>
    <w:p>
      <w:pPr>
        <w:pStyle w:val="ListParagraph"/>
        <w:numPr>
          <w:ilvl w:val="0"/>
          <w:numId w:val="2"/>
        </w:numPr>
        <w:spacing w:after="70" w:line="280"/>
      </w:pPr>
      <w:r>
        <w:rPr>
          <w:b/>
          <w:bCs/>
          <w:sz w:val="21"/>
          <w:szCs w:val="21"/>
        </w:rPr>
        <w:t xml:space="preserve">customers.personal_hazard_offset </w:t>
      </w:r>
      <w:r>
        <w:rPr>
          <w:sz w:val="21"/>
          <w:szCs w:val="21"/>
        </w:rPr>
        <w:t xml:space="preserve">is the single field that encodes "this customer is just chronically N days late" as a learned, reusable number — this is what separate-per-customer survival modeling in the literature is actually storing.</w:t>
      </w:r>
    </w:p>
    <w:p>
      <w:pPr>
        <w:pStyle w:val="ListParagraph"/>
        <w:numPr>
          <w:ilvl w:val="0"/>
          <w:numId w:val="2"/>
        </w:numPr>
        <w:spacing w:after="70" w:line="280"/>
      </w:pPr>
      <w:r>
        <w:rPr>
          <w:b/>
          <w:bCs/>
          <w:sz w:val="21"/>
          <w:szCs w:val="21"/>
        </w:rPr>
        <w:t xml:space="preserve">business_profile.confidence_stage </w:t>
      </w:r>
      <w:r>
        <w:rPr>
          <w:sz w:val="21"/>
          <w:szCs w:val="21"/>
        </w:rPr>
        <w:t xml:space="preserve">is what drives the cold-start blending logic in Section 4.3 — it's a state machine, not a one-time flag.</w:t>
      </w:r>
    </w:p>
    <w:p>
      <w:pPr>
        <w:pStyle w:val="ListParagraph"/>
        <w:numPr>
          <w:ilvl w:val="0"/>
          <w:numId w:val="2"/>
        </w:numPr>
        <w:spacing w:after="70" w:line="280"/>
      </w:pPr>
      <w:r>
        <w:rPr>
          <w:b/>
          <w:bCs/>
          <w:sz w:val="21"/>
          <w:szCs w:val="21"/>
        </w:rPr>
        <w:t xml:space="preserve">prediction_log </w:t>
      </w:r>
      <w:r>
        <w:rPr>
          <w:sz w:val="21"/>
          <w:szCs w:val="21"/>
        </w:rPr>
        <w:t xml:space="preserve">exists specifically so we can compute real business-impact metrics later (Section 8.7) instead of only reporting model accuracy after the fact.</w:t>
      </w:r>
    </w:p>
    <w:p>
      <w:r>
        <w:br w:type="page"/>
      </w:r>
    </w:p>
    <w:p>
      <w:pPr>
        <w:pStyle w:val="Heading1"/>
        <w:pBdr>
          <w:bottom w:val="single" w:color="2E74B5" w:sz="6" w:space="4"/>
        </w:pBdr>
        <w:spacing w:after="160" w:before="360"/>
      </w:pPr>
      <w:r>
        <w:rPr>
          <w:b/>
          <w:bCs/>
          <w:color w:val="1F3864"/>
          <w:sz w:val="30"/>
          <w:szCs w:val="30"/>
        </w:rPr>
        <w:t xml:space="preserve">4. Prediction Methodology — Layer 1: Accounts Receivable Survival Model</w:t>
      </w:r>
    </w:p>
    <w:p>
      <w:pPr>
        <w:pStyle w:val="Heading2"/>
        <w:spacing w:after="100" w:before="260"/>
      </w:pPr>
      <w:r>
        <w:rPr>
          <w:b/>
          <w:bCs/>
          <w:color w:val="2E74B5"/>
          <w:sz w:val="24"/>
          <w:szCs w:val="24"/>
        </w:rPr>
        <w:t xml:space="preserve">4.1  Why survival analysis, not classification</w:t>
      </w:r>
    </w:p>
    <w:p>
      <w:pPr>
        <w:spacing w:after="140" w:line="300"/>
      </w:pPr>
      <w:r>
        <w:rPr>
          <w:sz w:val="21"/>
          <w:szCs w:val="21"/>
        </w:rPr>
        <w:t xml:space="preserve">A binary classifier answers 'will this invoice be late?' A survival/hazard model answers 'what is the probability this invoice is paid on or before day t, for every t?' — which is what a cash-flow simulator actually needs as input. The published research on this exact problem (invoice payment prediction) shows Random Survival Forests outperforming both plain classifiers and the older Cox Proportional Hazards model, precisely because they don't assume every customer's risk pattern has the same shape. We adopt the same framing.</w:t>
      </w:r>
    </w:p>
    <w:p>
      <w:pPr>
        <w:pStyle w:val="Heading2"/>
        <w:spacing w:after="100" w:before="260"/>
      </w:pPr>
      <w:r>
        <w:rPr>
          <w:b/>
          <w:bCs/>
          <w:color w:val="2E74B5"/>
          <w:sz w:val="24"/>
          <w:szCs w:val="24"/>
        </w:rPr>
        <w:t xml:space="preserve">4.2  Feature basis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800"/>
      </w:tblGrid>
      <w:tr>
        <w:trPr>
          <w:tblHeader/>
        </w:trPr>
        <w:tc>
          <w:tcPr>
            <w:tcW w:type="dxa" w:w="2200"/>
            <w:shd w:fill="1F3864" w:val="clear"/>
            <w:tcMar>
              <w:top w:type="dxa" w:w="70"/>
              <w:left w:type="dxa" w:w="100"/>
              <w:bottom w:type="dxa" w:w="70"/>
              <w:right w:type="dxa" w:w="100"/>
            </w:tcMar>
          </w:tcPr>
          <w:p>
            <w:pPr>
              <w:jc w:val="center"/>
            </w:pPr>
            <w:r>
              <w:rPr>
                <w:b/>
                <w:bCs/>
                <w:color w:val="FFFFFF"/>
                <w:sz w:val="19"/>
                <w:szCs w:val="19"/>
              </w:rPr>
              <w:t xml:space="preserve">Feature group</w:t>
            </w:r>
          </w:p>
        </w:tc>
        <w:tc>
          <w:tcPr>
            <w:tcW w:type="dxa" w:w="3900"/>
            <w:shd w:fill="1F3864" w:val="clear"/>
            <w:tcMar>
              <w:top w:type="dxa" w:w="70"/>
              <w:left w:type="dxa" w:w="100"/>
              <w:bottom w:type="dxa" w:w="70"/>
              <w:right w:type="dxa" w:w="100"/>
            </w:tcMar>
          </w:tcPr>
          <w:p>
            <w:pPr>
              <w:jc w:val="center"/>
            </w:pPr>
            <w:r>
              <w:rPr>
                <w:b/>
                <w:bCs/>
                <w:color w:val="FFFFFF"/>
                <w:sz w:val="19"/>
                <w:szCs w:val="19"/>
              </w:rPr>
              <w:t xml:space="preserve">Specific features</w:t>
            </w:r>
          </w:p>
        </w:tc>
        <w:tc>
          <w:tcPr>
            <w:tcW w:type="dxa" w:w="2800"/>
            <w:shd w:fill="1F3864" w:val="clear"/>
            <w:tcMar>
              <w:top w:type="dxa" w:w="70"/>
              <w:left w:type="dxa" w:w="100"/>
              <w:bottom w:type="dxa" w:w="70"/>
              <w:right w:type="dxa" w:w="100"/>
            </w:tcMar>
          </w:tcPr>
          <w:p>
            <w:pPr>
              <w:jc w:val="center"/>
            </w:pPr>
            <w:r>
              <w:rPr>
                <w:b/>
                <w:bCs/>
                <w:color w:val="FFFFFF"/>
                <w:sz w:val="19"/>
                <w:szCs w:val="19"/>
              </w:rPr>
              <w:t xml:space="preserve">Why it matters</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Invoice-level</w:t>
            </w:r>
          </w:p>
        </w:tc>
        <w:tc>
          <w:tcPr>
            <w:tcW w:type="dxa" w:w="3900"/>
            <w:shd w:fill="F2F6FA" w:val="clear"/>
            <w:tcMar>
              <w:top w:type="dxa" w:w="70"/>
              <w:left w:type="dxa" w:w="100"/>
              <w:bottom w:type="dxa" w:w="70"/>
              <w:right w:type="dxa" w:w="100"/>
            </w:tcMar>
          </w:tcPr>
          <w:p>
            <w:pPr>
              <w:jc w:val="left"/>
            </w:pPr>
            <w:r>
              <w:rPr>
                <w:b w:val="false"/>
                <w:bCs w:val="false"/>
                <w:color w:val="000000"/>
                <w:sz w:val="19"/>
                <w:szCs w:val="19"/>
              </w:rPr>
              <w:t xml:space="preserve">Amount, payment terms (days), category of good/service, day-of-month / day-of-quarter issued</w:t>
            </w:r>
          </w:p>
        </w:tc>
        <w:tc>
          <w:tcPr>
            <w:tcW w:type="dxa" w:w="2800"/>
            <w:shd w:fill="F2F6FA" w:val="clear"/>
            <w:tcMar>
              <w:top w:type="dxa" w:w="70"/>
              <w:left w:type="dxa" w:w="100"/>
              <w:bottom w:type="dxa" w:w="70"/>
              <w:right w:type="dxa" w:w="100"/>
            </w:tcMar>
          </w:tcPr>
          <w:p>
            <w:pPr>
              <w:jc w:val="left"/>
            </w:pPr>
            <w:r>
              <w:rPr>
                <w:b w:val="false"/>
                <w:bCs w:val="false"/>
                <w:color w:val="000000"/>
                <w:sz w:val="19"/>
                <w:szCs w:val="19"/>
              </w:rPr>
              <w:t xml:space="preserve">Captures seasonality — invoices issued near quarter-end or around holidays behave differently from routine ones.</w:t>
            </w:r>
          </w:p>
        </w:tc>
      </w:tr>
      <w:tr>
        <w:tc>
          <w:tcPr>
            <w:tcW w:type="dxa" w:w="2200"/>
            <w:shd w:fill="FFFFFF" w:val="clear"/>
            <w:tcMar>
              <w:top w:type="dxa" w:w="70"/>
              <w:left w:type="dxa" w:w="100"/>
              <w:bottom w:type="dxa" w:w="70"/>
              <w:right w:type="dxa" w:w="100"/>
            </w:tcMar>
          </w:tcPr>
          <w:p>
            <w:pPr>
              <w:jc w:val="left"/>
            </w:pPr>
            <w:r>
              <w:rPr>
                <w:b w:val="false"/>
                <w:bCs w:val="false"/>
                <w:color w:val="000000"/>
                <w:sz w:val="19"/>
                <w:szCs w:val="19"/>
              </w:rPr>
              <w:t xml:space="preserve">Customer history (short window)</w:t>
            </w:r>
          </w:p>
        </w:tc>
        <w:tc>
          <w:tcPr>
            <w:tcW w:type="dxa" w:w="3900"/>
            <w:shd w:fill="FFFFFF" w:val="clear"/>
            <w:tcMar>
              <w:top w:type="dxa" w:w="70"/>
              <w:left w:type="dxa" w:w="100"/>
              <w:bottom w:type="dxa" w:w="70"/>
              <w:right w:type="dxa" w:w="100"/>
            </w:tcMar>
          </w:tcPr>
          <w:p>
            <w:pPr>
              <w:jc w:val="left"/>
            </w:pPr>
            <w:r>
              <w:rPr>
                <w:b w:val="false"/>
                <w:bCs w:val="false"/>
                <w:color w:val="000000"/>
                <w:sz w:val="19"/>
                <w:szCs w:val="19"/>
              </w:rPr>
              <w:t xml:space="preserve">Late ratio over last 3 invoices, average delay over last 3 invoices</w:t>
            </w:r>
          </w:p>
        </w:tc>
        <w:tc>
          <w:tcPr>
            <w:tcW w:type="dxa" w:w="2800"/>
            <w:shd w:fill="FFFFFF" w:val="clear"/>
            <w:tcMar>
              <w:top w:type="dxa" w:w="70"/>
              <w:left w:type="dxa" w:w="100"/>
              <w:bottom w:type="dxa" w:w="70"/>
              <w:right w:type="dxa" w:w="100"/>
            </w:tcMar>
          </w:tcPr>
          <w:p>
            <w:pPr>
              <w:jc w:val="left"/>
            </w:pPr>
            <w:r>
              <w:rPr>
                <w:b w:val="false"/>
                <w:bCs w:val="false"/>
                <w:color w:val="000000"/>
                <w:sz w:val="19"/>
                <w:szCs w:val="19"/>
              </w:rPr>
              <w:t xml:space="preserve">Captures a recent shift in a customer's behavior before it shows up in the long-run average.</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Customer history (long window)</w:t>
            </w:r>
          </w:p>
        </w:tc>
        <w:tc>
          <w:tcPr>
            <w:tcW w:type="dxa" w:w="3900"/>
            <w:shd w:fill="F2F6FA" w:val="clear"/>
            <w:tcMar>
              <w:top w:type="dxa" w:w="70"/>
              <w:left w:type="dxa" w:w="100"/>
              <w:bottom w:type="dxa" w:w="70"/>
              <w:right w:type="dxa" w:w="100"/>
            </w:tcMar>
          </w:tcPr>
          <w:p>
            <w:pPr>
              <w:jc w:val="left"/>
            </w:pPr>
            <w:r>
              <w:rPr>
                <w:b w:val="false"/>
                <w:bCs w:val="false"/>
                <w:color w:val="000000"/>
                <w:sz w:val="19"/>
                <w:szCs w:val="19"/>
              </w:rPr>
              <w:t xml:space="preserve">Late ratio over last 12 invoices, average delay over last 12 invoices, outstanding invoice count</w:t>
            </w:r>
          </w:p>
        </w:tc>
        <w:tc>
          <w:tcPr>
            <w:tcW w:type="dxa" w:w="2800"/>
            <w:shd w:fill="F2F6FA" w:val="clear"/>
            <w:tcMar>
              <w:top w:type="dxa" w:w="70"/>
              <w:left w:type="dxa" w:w="100"/>
              <w:bottom w:type="dxa" w:w="70"/>
              <w:right w:type="dxa" w:w="100"/>
            </w:tcMar>
          </w:tcPr>
          <w:p>
            <w:pPr>
              <w:jc w:val="left"/>
            </w:pPr>
            <w:r>
              <w:rPr>
                <w:b w:val="false"/>
                <w:bCs w:val="false"/>
                <w:color w:val="000000"/>
                <w:sz w:val="19"/>
                <w:szCs w:val="19"/>
              </w:rPr>
              <w:t xml:space="preserve">Captures the customer's stable baseline behavior.</w:t>
            </w:r>
          </w:p>
        </w:tc>
      </w:tr>
      <w:tr>
        <w:tc>
          <w:tcPr>
            <w:tcW w:type="dxa" w:w="2200"/>
            <w:shd w:fill="FFFFFF" w:val="clear"/>
            <w:tcMar>
              <w:top w:type="dxa" w:w="70"/>
              <w:left w:type="dxa" w:w="100"/>
              <w:bottom w:type="dxa" w:w="70"/>
              <w:right w:type="dxa" w:w="100"/>
            </w:tcMar>
          </w:tcPr>
          <w:p>
            <w:pPr>
              <w:jc w:val="left"/>
            </w:pPr>
            <w:r>
              <w:rPr>
                <w:b w:val="false"/>
                <w:bCs w:val="false"/>
                <w:color w:val="000000"/>
                <w:sz w:val="19"/>
                <w:szCs w:val="19"/>
              </w:rPr>
              <w:t xml:space="preserve">Customer random effect</w:t>
            </w:r>
          </w:p>
        </w:tc>
        <w:tc>
          <w:tcPr>
            <w:tcW w:type="dxa" w:w="3900"/>
            <w:shd w:fill="FFFFFF" w:val="clear"/>
            <w:tcMar>
              <w:top w:type="dxa" w:w="70"/>
              <w:left w:type="dxa" w:w="100"/>
              <w:bottom w:type="dxa" w:w="70"/>
              <w:right w:type="dxa" w:w="100"/>
            </w:tcMar>
          </w:tcPr>
          <w:p>
            <w:pPr>
              <w:jc w:val="left"/>
            </w:pPr>
            <w:r>
              <w:rPr>
                <w:b w:val="false"/>
                <w:bCs w:val="false"/>
                <w:color w:val="000000"/>
                <w:sz w:val="19"/>
                <w:szCs w:val="19"/>
              </w:rPr>
              <w:t xml:space="preserve">personal_hazard_offset — a per-customer learned parameter</w:t>
            </w:r>
          </w:p>
        </w:tc>
        <w:tc>
          <w:tcPr>
            <w:tcW w:type="dxa" w:w="2800"/>
            <w:shd w:fill="FFFFFF" w:val="clear"/>
            <w:tcMar>
              <w:top w:type="dxa" w:w="70"/>
              <w:left w:type="dxa" w:w="100"/>
              <w:bottom w:type="dxa" w:w="70"/>
              <w:right w:type="dxa" w:w="100"/>
            </w:tcMar>
          </w:tcPr>
          <w:p>
            <w:pPr>
              <w:jc w:val="left"/>
            </w:pPr>
            <w:r>
              <w:rPr>
                <w:b w:val="false"/>
                <w:bCs w:val="false"/>
                <w:color w:val="000000"/>
                <w:sz w:val="19"/>
                <w:szCs w:val="19"/>
              </w:rPr>
              <w:t xml:space="preserve">Directly encodes 'this specific customer runs ~N days late as a personal pattern,' separate from generic risk factors — the key trick from the mixed-effects survival literature.</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Cohort features (cold start only)</w:t>
            </w:r>
          </w:p>
        </w:tc>
        <w:tc>
          <w:tcPr>
            <w:tcW w:type="dxa" w:w="3900"/>
            <w:shd w:fill="F2F6FA" w:val="clear"/>
            <w:tcMar>
              <w:top w:type="dxa" w:w="70"/>
              <w:left w:type="dxa" w:w="100"/>
              <w:bottom w:type="dxa" w:w="70"/>
              <w:right w:type="dxa" w:w="100"/>
            </w:tcMar>
          </w:tcPr>
          <w:p>
            <w:pPr>
              <w:jc w:val="left"/>
            </w:pPr>
            <w:r>
              <w:rPr>
                <w:b w:val="false"/>
                <w:bCs w:val="false"/>
                <w:color w:val="000000"/>
                <w:sz w:val="19"/>
                <w:szCs w:val="19"/>
              </w:rPr>
              <w:t xml:space="preserve">Industry tag, business size bracket, region</w:t>
            </w:r>
          </w:p>
        </w:tc>
        <w:tc>
          <w:tcPr>
            <w:tcW w:type="dxa" w:w="2800"/>
            <w:shd w:fill="F2F6FA" w:val="clear"/>
            <w:tcMar>
              <w:top w:type="dxa" w:w="70"/>
              <w:left w:type="dxa" w:w="100"/>
              <w:bottom w:type="dxa" w:w="70"/>
              <w:right w:type="dxa" w:w="100"/>
            </w:tcMar>
          </w:tcPr>
          <w:p>
            <w:pPr>
              <w:jc w:val="left"/>
            </w:pPr>
            <w:r>
              <w:rPr>
                <w:b w:val="false"/>
                <w:bCs w:val="false"/>
                <w:color w:val="000000"/>
                <w:sz w:val="19"/>
                <w:szCs w:val="19"/>
              </w:rPr>
              <w:t xml:space="preserve">Used only when a customer has too little personal history; provides the baseline curve to start from.</w:t>
            </w:r>
          </w:p>
        </w:tc>
      </w:tr>
    </w:tbl>
    <w:p>
      <w:pPr>
        <w:pStyle w:val="Heading2"/>
        <w:spacing w:after="100" w:before="260"/>
      </w:pPr>
      <w:r>
        <w:rPr>
          <w:b/>
          <w:bCs/>
          <w:color w:val="2E74B5"/>
          <w:sz w:val="24"/>
          <w:szCs w:val="24"/>
        </w:rPr>
        <w:t xml:space="preserve">4.3  Cold-start blending — the core effectiveness mechanism</w:t>
      </w:r>
    </w:p>
    <w:p>
      <w:pPr>
        <w:spacing w:after="140" w:line="300"/>
      </w:pPr>
      <w:r>
        <w:rPr>
          <w:sz w:val="21"/>
          <w:szCs w:val="21"/>
        </w:rPr>
        <w:t xml:space="preserve">A brand-new customer relationship cannot be modeled personally on day one. Rather than waiting for 'enough data' (which never arrives for most SME customer relationships — the deployed reference system found 50% of a real client's customers had only 1-2 invoices ever), we blend a personal estimate with a cohort estimate, shifting weight toward personal data as it accumulates:</w:t>
      </w:r>
    </w:p>
    <w:p>
      <w:pPr>
        <w:pBdr>
          <w:left w:val="single" w:color="B0B0B0" w:sz="12" w:space="8"/>
        </w:pBdr>
        <w:shd w:fill="F2F2F2" w:val="clear"/>
        <w:spacing w:after="120" w:line="264"/>
        <w:ind w:left="200"/>
      </w:pPr>
      <w:r>
        <w:rPr>
          <w:rFonts w:ascii="Consolas" w:cs="Consolas" w:eastAsia="Consolas" w:hAnsi="Consolas"/>
          <w:sz w:val="20"/>
          <w:szCs w:val="20"/>
        </w:rPr>
        <w:t xml:space="preserve">P_final(t) = w * P_personal(t) + (1 - w) * P_cohort(t)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 = n / (n + k)</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n = number of this customer's past invoices observed</w:t>
      </w:r>
      <w:r>
        <w:br/>
        <w:t xml:space="preserve"/>
      </w:r>
      <w:r>
        <w:rPr>
          <w:rFonts w:ascii="Consolas" w:cs="Consolas" w:eastAsia="Consolas" w:hAnsi="Consolas"/>
          <w:sz w:val="20"/>
          <w:szCs w:val="20"/>
        </w:rPr>
        <w:t xml:space="preserve">  k = a shrinkage constant (tunable; start around 5)</w:t>
      </w:r>
      <w:r>
        <w:br/>
        <w:t xml:space="preserve"/>
      </w:r>
      <w:r>
        <w:rPr>
          <w:rFonts w:ascii="Consolas" w:cs="Consolas" w:eastAsia="Consolas" w:hAnsi="Consolas"/>
          <w:sz w:val="20"/>
          <w:szCs w:val="20"/>
        </w:rPr>
        <w:t xml:space="preserve">  P_cohort(t) = the payment-by-day-t curve averaged across</w:t>
      </w:r>
      <w:r>
        <w:br/>
        <w:t xml:space="preserve"/>
      </w:r>
      <w:r>
        <w:rPr>
          <w:rFonts w:ascii="Consolas" w:cs="Consolas" w:eastAsia="Consolas" w:hAnsi="Consolas"/>
          <w:sz w:val="20"/>
          <w:szCs w:val="20"/>
        </w:rPr>
        <w:t xml:space="preserve">                all customers in the same industry/size/region cohort</w:t>
      </w:r>
    </w:p>
    <w:p>
      <w:pPr>
        <w:spacing w:after="140" w:line="300"/>
      </w:pPr>
      <w:r>
        <w:rPr>
          <w:sz w:val="21"/>
          <w:szCs w:val="21"/>
        </w:rPr>
        <w:t xml:space="preserve">At n=0 (brand new customer), w=0 and the prediction is entirely the cohort curve — still useful, just appropriately low-confidence. By n=10 or so, w is already above 0.65 and personal signal dominates. This single formula is what lets the system be useful from day one instead of demanding a data-collection period, and it is explicitly what the confidence_stage field in Section 3 tracks.</w:t>
      </w:r>
    </w:p>
    <w:p>
      <w:pPr>
        <w:pStyle w:val="Heading2"/>
        <w:spacing w:after="100" w:before="260"/>
      </w:pPr>
      <w:r>
        <w:rPr>
          <w:b/>
          <w:bCs/>
          <w:color w:val="2E74B5"/>
          <w:sz w:val="24"/>
          <w:szCs w:val="24"/>
        </w:rPr>
        <w:t xml:space="preserve">4.4  Model choice by data volume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900"/>
      </w:tblGrid>
      <w:tr>
        <w:trPr>
          <w:tblHeader/>
        </w:trPr>
        <w:tc>
          <w:tcPr>
            <w:tcW w:type="dxa" w:w="2600"/>
            <w:shd w:fill="1F3864" w:val="clear"/>
            <w:tcMar>
              <w:top w:type="dxa" w:w="70"/>
              <w:left w:type="dxa" w:w="100"/>
              <w:bottom w:type="dxa" w:w="70"/>
              <w:right w:type="dxa" w:w="100"/>
            </w:tcMar>
          </w:tcPr>
          <w:p>
            <w:pPr>
              <w:jc w:val="center"/>
            </w:pPr>
            <w:r>
              <w:rPr>
                <w:b/>
                <w:bCs/>
                <w:color w:val="FFFFFF"/>
                <w:sz w:val="19"/>
                <w:szCs w:val="19"/>
              </w:rPr>
              <w:t xml:space="preserve">Stage</w:t>
            </w:r>
          </w:p>
        </w:tc>
        <w:tc>
          <w:tcPr>
            <w:tcW w:type="dxa" w:w="3400"/>
            <w:shd w:fill="1F3864" w:val="clear"/>
            <w:tcMar>
              <w:top w:type="dxa" w:w="70"/>
              <w:left w:type="dxa" w:w="100"/>
              <w:bottom w:type="dxa" w:w="70"/>
              <w:right w:type="dxa" w:w="100"/>
            </w:tcMar>
          </w:tcPr>
          <w:p>
            <w:pPr>
              <w:jc w:val="center"/>
            </w:pPr>
            <w:r>
              <w:rPr>
                <w:b/>
                <w:bCs/>
                <w:color w:val="FFFFFF"/>
                <w:sz w:val="19"/>
                <w:szCs w:val="19"/>
              </w:rPr>
              <w:t xml:space="preserve">Model</w:t>
            </w:r>
          </w:p>
        </w:tc>
        <w:tc>
          <w:tcPr>
            <w:tcW w:type="dxa" w:w="2900"/>
            <w:shd w:fill="1F3864" w:val="clear"/>
            <w:tcMar>
              <w:top w:type="dxa" w:w="70"/>
              <w:left w:type="dxa" w:w="100"/>
              <w:bottom w:type="dxa" w:w="70"/>
              <w:right w:type="dxa" w:w="100"/>
            </w:tcMar>
          </w:tcPr>
          <w:p>
            <w:pPr>
              <w:jc w:val="center"/>
            </w:pPr>
            <w:r>
              <w:rPr>
                <w:b/>
                <w:bCs/>
                <w:color w:val="FFFFFF"/>
                <w:sz w:val="19"/>
                <w:szCs w:val="19"/>
              </w:rPr>
              <w:t xml:space="preserve">Rationale</w:t>
            </w:r>
          </w:p>
        </w:tc>
      </w:tr>
      <w:tr>
        <w:tc>
          <w:tcPr>
            <w:tcW w:type="dxa" w:w="2600"/>
            <w:shd w:fill="F2F6FA" w:val="clear"/>
            <w:tcMar>
              <w:top w:type="dxa" w:w="70"/>
              <w:left w:type="dxa" w:w="100"/>
              <w:bottom w:type="dxa" w:w="70"/>
              <w:right w:type="dxa" w:w="100"/>
            </w:tcMar>
          </w:tcPr>
          <w:p>
            <w:pPr>
              <w:jc w:val="left"/>
            </w:pPr>
            <w:r>
              <w:rPr>
                <w:b w:val="false"/>
                <w:bCs w:val="false"/>
                <w:color w:val="000000"/>
                <w:sz w:val="19"/>
                <w:szCs w:val="19"/>
              </w:rPr>
              <w:t xml:space="preserve">Cold start (cohort only)</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Empirical average payment-day distribution per cohort</w:t>
            </w:r>
          </w:p>
        </w:tc>
        <w:tc>
          <w:tcPr>
            <w:tcW w:type="dxa" w:w="2900"/>
            <w:shd w:fill="F2F6FA" w:val="clear"/>
            <w:tcMar>
              <w:top w:type="dxa" w:w="70"/>
              <w:left w:type="dxa" w:w="100"/>
              <w:bottom w:type="dxa" w:w="70"/>
              <w:right w:type="dxa" w:w="100"/>
            </w:tcMar>
          </w:tcPr>
          <w:p>
            <w:pPr>
              <w:jc w:val="left"/>
            </w:pPr>
            <w:r>
              <w:rPr>
                <w:b w:val="false"/>
                <w:bCs w:val="false"/>
                <w:color w:val="000000"/>
                <w:sz w:val="19"/>
                <w:szCs w:val="19"/>
              </w:rPr>
              <w:t xml:space="preserve">No model needed yet — just an aggregated historical curve; this is the 'cohort prior' shown in the diagram.</w:t>
            </w:r>
          </w:p>
        </w:tc>
      </w:tr>
      <w:tr>
        <w:tc>
          <w:tcPr>
            <w:tcW w:type="dxa" w:w="2600"/>
            <w:shd w:fill="FFFFFF" w:val="clear"/>
            <w:tcMar>
              <w:top w:type="dxa" w:w="70"/>
              <w:left w:type="dxa" w:w="100"/>
              <w:bottom w:type="dxa" w:w="70"/>
              <w:right w:type="dxa" w:w="100"/>
            </w:tcMar>
          </w:tcPr>
          <w:p>
            <w:pPr>
              <w:jc w:val="left"/>
            </w:pPr>
            <w:r>
              <w:rPr>
                <w:b w:val="false"/>
                <w:bCs w:val="false"/>
                <w:color w:val="000000"/>
                <w:sz w:val="19"/>
                <w:szCs w:val="19"/>
              </w:rPr>
              <w:t xml:space="preserve">Early personalization (5-30 invoices per customer)</w:t>
            </w:r>
          </w:p>
        </w:tc>
        <w:tc>
          <w:tcPr>
            <w:tcW w:type="dxa" w:w="3400"/>
            <w:shd w:fill="FFFFFF" w:val="clear"/>
            <w:tcMar>
              <w:top w:type="dxa" w:w="70"/>
              <w:left w:type="dxa" w:w="100"/>
              <w:bottom w:type="dxa" w:w="70"/>
              <w:right w:type="dxa" w:w="100"/>
            </w:tcMar>
          </w:tcPr>
          <w:p>
            <w:pPr>
              <w:jc w:val="left"/>
            </w:pPr>
            <w:r>
              <w:rPr>
                <w:b w:val="false"/>
                <w:bCs w:val="false"/>
                <w:color w:val="000000"/>
                <w:sz w:val="19"/>
                <w:szCs w:val="19"/>
              </w:rPr>
              <w:t xml:space="preserve">Discrete-time hazard model (logistic regression per time-bin) with the blending formula above</w:t>
            </w:r>
          </w:p>
        </w:tc>
        <w:tc>
          <w:tcPr>
            <w:tcW w:type="dxa" w:w="2900"/>
            <w:shd w:fill="FFFFFF" w:val="clear"/>
            <w:tcMar>
              <w:top w:type="dxa" w:w="70"/>
              <w:left w:type="dxa" w:w="100"/>
              <w:bottom w:type="dxa" w:w="70"/>
              <w:right w:type="dxa" w:w="100"/>
            </w:tcMar>
          </w:tcPr>
          <w:p>
            <w:pPr>
              <w:jc w:val="left"/>
            </w:pPr>
            <w:r>
              <w:rPr>
                <w:b w:val="false"/>
                <w:bCs w:val="false"/>
                <w:color w:val="000000"/>
                <w:sz w:val="19"/>
                <w:szCs w:val="19"/>
              </w:rPr>
              <w:t xml:space="preserve">Simple, fast to fit on small samples, and directly outputs the P(paid by day t) curve the simulator needs.</w:t>
            </w:r>
          </w:p>
        </w:tc>
      </w:tr>
      <w:tr>
        <w:tc>
          <w:tcPr>
            <w:tcW w:type="dxa" w:w="2600"/>
            <w:shd w:fill="F2F6FA" w:val="clear"/>
            <w:tcMar>
              <w:top w:type="dxa" w:w="70"/>
              <w:left w:type="dxa" w:w="100"/>
              <w:bottom w:type="dxa" w:w="70"/>
              <w:right w:type="dxa" w:w="100"/>
            </w:tcMar>
          </w:tcPr>
          <w:p>
            <w:pPr>
              <w:jc w:val="left"/>
            </w:pPr>
            <w:r>
              <w:rPr>
                <w:b w:val="false"/>
                <w:bCs w:val="false"/>
                <w:color w:val="000000"/>
                <w:sz w:val="19"/>
                <w:szCs w:val="19"/>
              </w:rPr>
              <w:t xml:space="preserve">Mature data (30+ invoices per customer, or platform-wide)</w:t>
            </w:r>
          </w:p>
        </w:tc>
        <w:tc>
          <w:tcPr>
            <w:tcW w:type="dxa" w:w="3400"/>
            <w:shd w:fill="F2F6FA" w:val="clear"/>
            <w:tcMar>
              <w:top w:type="dxa" w:w="70"/>
              <w:left w:type="dxa" w:w="100"/>
              <w:bottom w:type="dxa" w:w="70"/>
              <w:right w:type="dxa" w:w="100"/>
            </w:tcMar>
          </w:tcPr>
          <w:p>
            <w:pPr>
              <w:jc w:val="left"/>
            </w:pPr>
            <w:r>
              <w:rPr>
                <w:b w:val="false"/>
                <w:bCs w:val="false"/>
                <w:color w:val="000000"/>
                <w:sz w:val="19"/>
                <w:szCs w:val="19"/>
              </w:rPr>
              <w:t xml:space="preserve">Random Survival Forest across all customers, with customer ID as a categorical feature capturing the random-effect behavior</w:t>
            </w:r>
          </w:p>
        </w:tc>
        <w:tc>
          <w:tcPr>
            <w:tcW w:type="dxa" w:w="2900"/>
            <w:shd w:fill="F2F6FA" w:val="clear"/>
            <w:tcMar>
              <w:top w:type="dxa" w:w="70"/>
              <w:left w:type="dxa" w:w="100"/>
              <w:bottom w:type="dxa" w:w="70"/>
              <w:right w:type="dxa" w:w="100"/>
            </w:tcMar>
          </w:tcPr>
          <w:p>
            <w:pPr>
              <w:jc w:val="left"/>
            </w:pPr>
            <w:r>
              <w:rPr>
                <w:b w:val="false"/>
                <w:bCs w:val="false"/>
                <w:color w:val="000000"/>
                <w:sz w:val="19"/>
                <w:szCs w:val="19"/>
              </w:rPr>
              <w:t xml:space="preserve">Matches the best-performing approach in the published benchmark literature for this exact task once there's enough volume to support a non-parametric model.</w:t>
            </w:r>
          </w:p>
        </w:tc>
      </w:tr>
    </w:tbl>
    <w:p>
      <w:pPr>
        <w:pBdr>
          <w:left w:val="single" w:color="2E74B5" w:sz="24" w:space="8"/>
        </w:pBdr>
        <w:shd w:fill="EAF1F8" w:val="clear"/>
        <w:spacing w:after="200" w:before="100"/>
        <w:ind w:left="120"/>
      </w:pPr>
      <w:r>
        <w:rPr>
          <w:b/>
          <w:bCs/>
          <w:i/>
          <w:iCs/>
          <w:color w:val="1F3864"/>
          <w:sz w:val="21"/>
          <w:szCs w:val="21"/>
        </w:rPr>
        <w:t xml:space="preserve">Design principle: never claim a level of precision the data doesn't support. Every prediction ships with its confidence_stage label visible to the user — this is a feature, not a caveat to hide.</w:t>
      </w:r>
    </w:p>
    <w:p>
      <w:r>
        <w:br w:type="page"/>
      </w:r>
    </w:p>
    <w:p>
      <w:pPr>
        <w:pStyle w:val="Heading1"/>
        <w:pBdr>
          <w:bottom w:val="single" w:color="2E74B5" w:sz="6" w:space="4"/>
        </w:pBdr>
        <w:spacing w:after="160" w:before="360"/>
      </w:pPr>
      <w:r>
        <w:rPr>
          <w:b/>
          <w:bCs/>
          <w:color w:val="1F3864"/>
          <w:sz w:val="30"/>
          <w:szCs w:val="30"/>
        </w:rPr>
        <w:t xml:space="preserve">5. Prediction Methodology — Layer 2: Monte Carlo Cash-Flow Simulation</w:t>
      </w:r>
    </w:p>
    <w:p>
      <w:pPr>
        <w:pStyle w:val="Heading2"/>
        <w:spacing w:after="100" w:before="260"/>
      </w:pPr>
      <w:r>
        <w:rPr>
          <w:b/>
          <w:bCs/>
          <w:color w:val="2E74B5"/>
          <w:sz w:val="24"/>
          <w:szCs w:val="24"/>
        </w:rPr>
        <w:t xml:space="preserve">5.1  Why not just sum expected values</w:t>
      </w:r>
    </w:p>
    <w:p>
      <w:pPr>
        <w:spacing w:after="140" w:line="300"/>
      </w:pPr>
      <w:r>
        <w:rPr>
          <w:sz w:val="21"/>
          <w:szCs w:val="21"/>
        </w:rPr>
        <w:t xml:space="preserve">The naive approach — multiply each invoice's amount by its probability of being paid on time and sum it all up — throws away exactly the information that matters: how much the outcome could vary. Two businesses with the same 'expected' cash position on a given date can have wildly different real risk if one has its cash concentrated in a few large, uncertain invoices and the other has it spread across many small, reliable ones. Treasury teams solve this with Monte Carlo simulation to produce a full distribution instead of one number, and we apply the same method at SME scale.</w:t>
      </w:r>
    </w:p>
    <w:p>
      <w:pPr>
        <w:pStyle w:val="Heading2"/>
        <w:spacing w:after="100" w:before="260"/>
      </w:pPr>
      <w:r>
        <w:rPr>
          <w:b/>
          <w:bCs/>
          <w:color w:val="2E74B5"/>
          <w:sz w:val="24"/>
          <w:szCs w:val="24"/>
        </w:rPr>
        <w:t xml:space="preserve">5.2  Algorithm</w:t>
      </w:r>
    </w:p>
    <w:p>
      <w:pPr>
        <w:pBdr>
          <w:left w:val="single" w:color="B0B0B0" w:sz="12" w:space="8"/>
        </w:pBdr>
        <w:shd w:fill="F2F2F2" w:val="clear"/>
        <w:spacing w:after="120" w:line="264"/>
        <w:ind w:left="200"/>
      </w:pPr>
      <w:r>
        <w:rPr>
          <w:rFonts w:ascii="Consolas" w:cs="Consolas" w:eastAsia="Consolas" w:hAnsi="Consolas"/>
          <w:sz w:val="20"/>
          <w:szCs w:val="20"/>
        </w:rPr>
        <w:t xml:space="preserve">for simulation_run in 1..N   (N = 2,000+):</w:t>
      </w:r>
      <w:r>
        <w:br/>
        <w:t xml:space="preserve"/>
      </w:r>
      <w:r>
        <w:rPr>
          <w:rFonts w:ascii="Consolas" w:cs="Consolas" w:eastAsia="Consolas" w:hAnsi="Consolas"/>
          <w:sz w:val="20"/>
          <w:szCs w:val="20"/>
        </w:rPr>
        <w:t xml:space="preserve">    balance = current_cash_balance</w:t>
      </w:r>
      <w:r>
        <w:br/>
        <w:t xml:space="preserve"/>
      </w:r>
      <w:r>
        <w:rPr>
          <w:rFonts w:ascii="Consolas" w:cs="Consolas" w:eastAsia="Consolas" w:hAnsi="Consolas"/>
          <w:sz w:val="20"/>
          <w:szCs w:val="20"/>
        </w:rPr>
        <w:t xml:space="preserve">    for each day d in forecast_horizon:</w:t>
      </w:r>
      <w:r>
        <w:br/>
        <w:t xml:space="preserve"/>
      </w:r>
      <w:r>
        <w:rPr>
          <w:rFonts w:ascii="Consolas" w:cs="Consolas" w:eastAsia="Consolas" w:hAnsi="Consolas"/>
          <w:sz w:val="20"/>
          <w:szCs w:val="20"/>
        </w:rPr>
        <w:t xml:space="preserve">        for each open invoice i due around day d:</w:t>
      </w:r>
      <w:r>
        <w:br/>
        <w:t xml:space="preserve"/>
      </w:r>
      <w:r>
        <w:rPr>
          <w:rFonts w:ascii="Consolas" w:cs="Consolas" w:eastAsia="Consolas" w:hAnsi="Consolas"/>
          <w:sz w:val="20"/>
          <w:szCs w:val="20"/>
        </w:rPr>
        <w:t xml:space="preserve">            sample a payment_date from invoice i's Layer-1</w:t>
      </w:r>
      <w:r>
        <w:br/>
        <w:t xml:space="preserve"/>
      </w:r>
      <w:r>
        <w:rPr>
          <w:rFonts w:ascii="Consolas" w:cs="Consolas" w:eastAsia="Consolas" w:hAnsi="Consolas"/>
          <w:sz w:val="20"/>
          <w:szCs w:val="20"/>
        </w:rPr>
        <w:t xml:space="preserve">              probability curve (inverse-CDF sampling)</w:t>
      </w:r>
      <w:r>
        <w:br/>
        <w:t xml:space="preserve"/>
      </w:r>
      <w:r>
        <w:rPr>
          <w:rFonts w:ascii="Consolas" w:cs="Consolas" w:eastAsia="Consolas" w:hAnsi="Consolas"/>
          <w:sz w:val="20"/>
          <w:szCs w:val="20"/>
        </w:rPr>
        <w:t xml:space="preserve">            if payment_date == d: balance += invoice_i.amount</w:t>
      </w:r>
      <w:r>
        <w:br/>
        <w:t xml:space="preserve"/>
      </w:r>
      <w:r>
        <w:rPr>
          <w:rFonts w:ascii="Consolas" w:cs="Consolas" w:eastAsia="Consolas" w:hAnsi="Consolas"/>
          <w:sz w:val="20"/>
          <w:szCs w:val="20"/>
        </w:rPr>
        <w:t xml:space="preserve">        for each payable p scheduled on day d:</w:t>
      </w:r>
      <w:r>
        <w:br/>
        <w:t xml:space="preserve"/>
      </w:r>
      <w:r>
        <w:rPr>
          <w:rFonts w:ascii="Consolas" w:cs="Consolas" w:eastAsia="Consolas" w:hAnsi="Consolas"/>
          <w:sz w:val="20"/>
          <w:szCs w:val="20"/>
        </w:rPr>
        <w:t xml:space="preserve">            balance -= p.amount   (payables are near-certain,</w:t>
      </w:r>
      <w:r>
        <w:br/>
        <w:t xml:space="preserve"/>
      </w:r>
      <w:r>
        <w:rPr>
          <w:rFonts w:ascii="Consolas" w:cs="Consolas" w:eastAsia="Consolas" w:hAnsi="Consolas"/>
          <w:sz w:val="20"/>
          <w:szCs w:val="20"/>
        </w:rPr>
        <w:t xml:space="preserve">              so sampled with very low variance / fixed)</w:t>
      </w:r>
      <w:r>
        <w:br/>
        <w:t xml:space="preserve"/>
      </w:r>
      <w:r>
        <w:rPr>
          <w:rFonts w:ascii="Consolas" w:cs="Consolas" w:eastAsia="Consolas" w:hAnsi="Consolas"/>
          <w:sz w:val="20"/>
          <w:szCs w:val="20"/>
        </w:rPr>
        <w:t xml:space="preserve">        record balance at day d for this simulation_run</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for each day d in forecast_horizon:</w:t>
      </w:r>
      <w:r>
        <w:br/>
        <w:t xml:space="preserve"/>
      </w:r>
      <w:r>
        <w:rPr>
          <w:rFonts w:ascii="Consolas" w:cs="Consolas" w:eastAsia="Consolas" w:hAnsi="Consolas"/>
          <w:sz w:val="20"/>
          <w:szCs w:val="20"/>
        </w:rPr>
        <w:t xml:space="preserve">    collect balance[d] across all N simulation_runs</w:t>
      </w:r>
      <w:r>
        <w:br/>
        <w:t xml:space="preserve"/>
      </w:r>
      <w:r>
        <w:rPr>
          <w:rFonts w:ascii="Consolas" w:cs="Consolas" w:eastAsia="Consolas" w:hAnsi="Consolas"/>
          <w:sz w:val="20"/>
          <w:szCs w:val="20"/>
        </w:rPr>
        <w:t xml:space="preserve">    compute: median, 10th percentile, 90th percentile,</w:t>
      </w:r>
      <w:r>
        <w:br/>
        <w:t xml:space="preserve"/>
      </w:r>
      <w:r>
        <w:rPr>
          <w:rFonts w:ascii="Consolas" w:cs="Consolas" w:eastAsia="Consolas" w:hAnsi="Consolas"/>
          <w:sz w:val="20"/>
          <w:szCs w:val="20"/>
        </w:rPr>
        <w:t xml:space="preserve">             P(balance[d] &lt; 0)</w:t>
      </w:r>
    </w:p>
    <w:p>
      <w:pPr>
        <w:pStyle w:val="Heading2"/>
        <w:spacing w:after="100" w:before="260"/>
      </w:pPr>
      <w:r>
        <w:rPr>
          <w:b/>
          <w:bCs/>
          <w:color w:val="2E74B5"/>
          <w:sz w:val="24"/>
          <w:szCs w:val="24"/>
        </w:rPr>
        <w:t xml:space="preserve">5.3  Output</w:t>
      </w:r>
    </w:p>
    <w:p>
      <w:pPr>
        <w:spacing w:after="140" w:line="300"/>
      </w:pPr>
      <w:r>
        <w:rPr>
          <w:sz w:val="21"/>
          <w:szCs w:val="21"/>
        </w:rPr>
        <w:t xml:space="preserve">Instead of 'you'll have Rs 40,000 on June 5th,' the user sees: a median line, a shaded band (10th-90th percentile), and an explicit probability of shortfall on each upcoming critical date (e.g., payroll day). This is the Cash-Flow-at-Risk framing used in corporate treasury, scaled down and put in plain language for a shopkeeper.</w:t>
      </w:r>
    </w:p>
    <w:p>
      <w:pPr>
        <w:pBdr>
          <w:left w:val="single" w:color="2E7D32" w:sz="24" w:space="8"/>
        </w:pBdr>
        <w:shd w:fill="E4F3E5" w:val="clear"/>
        <w:spacing w:after="200" w:before="100"/>
        <w:ind w:left="120"/>
      </w:pPr>
      <w:r>
        <w:rPr>
          <w:b/>
          <w:bCs/>
          <w:i/>
          <w:iCs/>
          <w:color w:val="1F3864"/>
          <w:sz w:val="21"/>
          <w:szCs w:val="21"/>
        </w:rPr>
        <w:t xml:space="preserve">This is also how 'what-if' scenarios come for free: re-run the same simulation with one input changed (a specific customer marked as paid, an expense delayed 10 days) and show the new distribution. No separate what-if engine needs to be built.</w:t>
      </w:r>
    </w:p>
    <w:p>
      <w:pPr>
        <w:pStyle w:val="Heading2"/>
        <w:spacing w:after="100" w:before="260"/>
      </w:pPr>
      <w:r>
        <w:rPr>
          <w:b/>
          <w:bCs/>
          <w:color w:val="2E74B5"/>
          <w:sz w:val="24"/>
          <w:szCs w:val="24"/>
        </w:rPr>
        <w:t xml:space="preserve">5.4  Feasibility note</w:t>
      </w:r>
    </w:p>
    <w:p>
      <w:pPr>
        <w:spacing w:after="140" w:line="300"/>
      </w:pPr>
      <w:r>
        <w:rPr>
          <w:sz w:val="21"/>
          <w:szCs w:val="21"/>
        </w:rPr>
        <w:t xml:space="preserve">2,000 simulation runs over a 90-day horizon across a few dozen open invoices is computationally trivial (well under a second in plain Python/NumPy with vectorized sampling) — this is realistic to build and demo live in a hackathon setting, not just describe on a slide.</w:t>
      </w:r>
    </w:p>
    <w:p>
      <w:r>
        <w:br w:type="page"/>
      </w:r>
    </w:p>
    <w:p>
      <w:pPr>
        <w:pStyle w:val="Heading1"/>
        <w:pBdr>
          <w:bottom w:val="single" w:color="2E74B5" w:sz="6" w:space="4"/>
        </w:pBdr>
        <w:spacing w:after="160" w:before="360"/>
      </w:pPr>
      <w:r>
        <w:rPr>
          <w:b/>
          <w:bCs/>
          <w:color w:val="1F3864"/>
          <w:sz w:val="30"/>
          <w:szCs w:val="30"/>
        </w:rPr>
        <w:t xml:space="preserve">6. Action &amp; Recommendation Engine (the differentiator)</w:t>
      </w:r>
    </w:p>
    <w:p>
      <w:pPr>
        <w:pBdr>
          <w:left w:val="single" w:color="9C2B2B" w:sz="24" w:space="8"/>
        </w:pBdr>
        <w:shd w:fill="FBEAEA" w:val="clear"/>
        <w:spacing w:after="200" w:before="100"/>
        <w:ind w:left="120"/>
      </w:pPr>
      <w:r>
        <w:rPr>
          <w:b/>
          <w:bCs/>
          <w:i/>
          <w:iCs/>
          <w:color w:val="1F3864"/>
          <w:sz w:val="21"/>
          <w:szCs w:val="21"/>
        </w:rPr>
        <w:t xml:space="preserve">A plain rule ("remind the owner 5 days before a shortfall") is not a recommendation engine — it's a timer. This section is the part most teams skip, and the part most likely to separate this project from every other predict-and-alert pitch.</w:t>
      </w:r>
    </w:p>
    <w:p>
      <w:pPr>
        <w:pStyle w:val="Heading2"/>
        <w:spacing w:after="100" w:before="260"/>
      </w:pPr>
      <w:r>
        <w:rPr>
          <w:b/>
          <w:bCs/>
          <w:color w:val="2E74B5"/>
          <w:sz w:val="24"/>
          <w:szCs w:val="24"/>
        </w:rPr>
        <w:t xml:space="preserve">6.1  Step 1 — Rank every invoice by Expected Risk</w:t>
      </w:r>
    </w:p>
    <w:p>
      <w:pPr>
        <w:spacing w:after="140" w:line="300"/>
      </w:pPr>
      <w:r>
        <w:rPr>
          <w:sz w:val="21"/>
          <w:szCs w:val="21"/>
        </w:rPr>
        <w:t xml:space="preserve">Adapted directly from the published invoice-prioritization formula (Appel et al.): never rank by probability alone (a small, very-likely-late invoice can rank above a huge, moderately-risky one, which is wrong) and never rank by amount alone (ignores how likely the money actually is to be a problem).</w:t>
      </w:r>
    </w:p>
    <w:p>
      <w:pPr>
        <w:pBdr>
          <w:left w:val="single" w:color="B0B0B0" w:sz="12" w:space="8"/>
        </w:pBdr>
        <w:shd w:fill="F2F2F2" w:val="clear"/>
        <w:spacing w:after="120" w:line="264"/>
        <w:ind w:left="200"/>
      </w:pPr>
      <w:r>
        <w:rPr>
          <w:rFonts w:ascii="Consolas" w:cs="Consolas" w:eastAsia="Consolas" w:hAnsi="Consolas"/>
          <w:sz w:val="20"/>
          <w:szCs w:val="20"/>
        </w:rPr>
        <w:t xml:space="preserve">Expected_Risk(invoice) = Value x P(late beyond grace period) x Urgency_Weight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Urgency_Weight scales up sharply as the invoice's expected</w:t>
      </w:r>
      <w:r>
        <w:br/>
        <w:t xml:space="preserve"/>
      </w:r>
      <w:r>
        <w:rPr>
          <w:rFonts w:ascii="Consolas" w:cs="Consolas" w:eastAsia="Consolas" w:hAnsi="Consolas"/>
          <w:sz w:val="20"/>
          <w:szCs w:val="20"/>
        </w:rPr>
        <w:t xml:space="preserve">payment date approaches a hard payable deadline (e.g. payroll date)</w:t>
      </w:r>
    </w:p>
    <w:p>
      <w:pPr>
        <w:spacing w:after="140" w:line="300"/>
      </w:pPr>
      <w:r>
        <w:rPr>
          <w:sz w:val="21"/>
          <w:szCs w:val="21"/>
        </w:rPr>
        <w:t xml:space="preserve">This produces a single ranked 'chase this customer first' list that is mathematically grounded rather than based on gut feel — and it is trivially explainable to a judge or a user in one sentence.</w:t>
      </w:r>
    </w:p>
    <w:p>
      <w:pPr>
        <w:pStyle w:val="Heading2"/>
        <w:spacing w:after="100" w:before="260"/>
      </w:pPr>
      <w:r>
        <w:rPr>
          <w:b/>
          <w:bCs/>
          <w:color w:val="2E74B5"/>
          <w:sz w:val="24"/>
          <w:szCs w:val="24"/>
        </w:rPr>
        <w:t xml:space="preserve">6.2  Step 2 — Solve the gap-closing optimization</w:t>
      </w:r>
    </w:p>
    <w:p>
      <w:pPr>
        <w:spacing w:after="140" w:line="300"/>
      </w:pPr>
      <w:r>
        <w:rPr>
          <w:sz w:val="21"/>
          <w:szCs w:val="21"/>
        </w:rPr>
        <w:t xml:space="preserve">When the Layer-2 simulator flags a probable shortfall of amount G on date D, the system does not just recommend the single top-ranked invoice. It solves a small constrained optimization over every available lever:</w:t>
      </w:r>
    </w:p>
    <w:p>
      <w:pPr>
        <w:spacing w:after="80" w:before="180"/>
      </w:pPr>
      <w:r>
        <w:rPr>
          <w:b/>
          <w:bCs/>
          <w:color w:val="1F3864"/>
          <w:sz w:val="21"/>
          <w:szCs w:val="21"/>
        </w:rPr>
        <w:t xml:space="preserve">Decision variables</w:t>
      </w:r>
    </w:p>
    <w:p>
      <w:pPr>
        <w:pBdr>
          <w:left w:val="single" w:color="B0B0B0" w:sz="12" w:space="8"/>
        </w:pBdr>
        <w:shd w:fill="F2F2F2" w:val="clear"/>
        <w:spacing w:after="120" w:line="264"/>
        <w:ind w:left="200"/>
      </w:pPr>
      <w:r>
        <w:rPr>
          <w:rFonts w:ascii="Consolas" w:cs="Consolas" w:eastAsia="Consolas" w:hAnsi="Consolas"/>
          <w:sz w:val="20"/>
          <w:szCs w:val="20"/>
        </w:rPr>
        <w:t xml:space="preserve">x_i in {0,1}   for each candidate invoice i -&gt; chase it or not</w:t>
      </w:r>
      <w:r>
        <w:br/>
        <w:t xml:space="preserve"/>
      </w:r>
      <w:r>
        <w:rPr>
          <w:rFonts w:ascii="Consolas" w:cs="Consolas" w:eastAsia="Consolas" w:hAnsi="Consolas"/>
          <w:sz w:val="20"/>
          <w:szCs w:val="20"/>
        </w:rPr>
        <w:t xml:space="preserve">y_j in {0,1}   for each flexible payable j  -&gt; delay it or not</w:t>
      </w:r>
      <w:r>
        <w:br/>
        <w:t xml:space="preserve"/>
      </w:r>
      <w:r>
        <w:rPr>
          <w:rFonts w:ascii="Consolas" w:cs="Consolas" w:eastAsia="Consolas" w:hAnsi="Consolas"/>
          <w:sz w:val="20"/>
          <w:szCs w:val="20"/>
        </w:rPr>
        <w:t xml:space="preserve">z   in {0,1}   -&gt; draw a pre-qualified short-term credit line</w:t>
      </w:r>
    </w:p>
    <w:p>
      <w:pPr>
        <w:spacing w:after="80" w:before="180"/>
      </w:pPr>
      <w:r>
        <w:rPr>
          <w:b/>
          <w:bCs/>
          <w:color w:val="1F3864"/>
          <w:sz w:val="21"/>
          <w:szCs w:val="21"/>
        </w:rPr>
        <w:t xml:space="preserve">Objective — minimize total friction cost</w:t>
      </w:r>
    </w:p>
    <w:p>
      <w:pPr>
        <w:pBdr>
          <w:left w:val="single" w:color="B0B0B0" w:sz="12" w:space="8"/>
        </w:pBdr>
        <w:shd w:fill="F2F2F2" w:val="clear"/>
        <w:spacing w:after="120" w:line="264"/>
        <w:ind w:left="200"/>
      </w:pPr>
      <w:r>
        <w:rPr>
          <w:rFonts w:ascii="Consolas" w:cs="Consolas" w:eastAsia="Consolas" w:hAnsi="Consolas"/>
          <w:sz w:val="20"/>
          <w:szCs w:val="20"/>
        </w:rPr>
        <w:t xml:space="preserve">minimize:  sum( x_i * chase_cost_i )</w:t>
      </w:r>
      <w:r>
        <w:br/>
        <w:t xml:space="preserve"/>
      </w:r>
      <w:r>
        <w:rPr>
          <w:rFonts w:ascii="Consolas" w:cs="Consolas" w:eastAsia="Consolas" w:hAnsi="Consolas"/>
          <w:sz w:val="20"/>
          <w:szCs w:val="20"/>
        </w:rPr>
        <w:t xml:space="preserve">         + sum( y_j * relationship_cost_j )</w:t>
      </w:r>
      <w:r>
        <w:br/>
        <w:t xml:space="preserve"/>
      </w:r>
      <w:r>
        <w:rPr>
          <w:rFonts w:ascii="Consolas" w:cs="Consolas" w:eastAsia="Consolas" w:hAnsi="Consolas"/>
          <w:sz w:val="20"/>
          <w:szCs w:val="20"/>
        </w:rPr>
        <w:t xml:space="preserve">         + z * financing_cost</w:t>
      </w:r>
    </w:p>
    <w:p>
      <w:pPr>
        <w:spacing w:after="80" w:before="180"/>
      </w:pPr>
      <w:r>
        <w:rPr>
          <w:b/>
          <w:bCs/>
          <w:color w:val="1F3864"/>
          <w:sz w:val="21"/>
          <w:szCs w:val="21"/>
        </w:rPr>
        <w:t xml:space="preserve">Constraint — the gap must actually close</w:t>
      </w:r>
    </w:p>
    <w:p>
      <w:pPr>
        <w:pBdr>
          <w:left w:val="single" w:color="B0B0B0" w:sz="12" w:space="8"/>
        </w:pBdr>
        <w:shd w:fill="F2F2F2" w:val="clear"/>
        <w:spacing w:after="120" w:line="264"/>
        <w:ind w:left="200"/>
      </w:pPr>
      <w:r>
        <w:rPr>
          <w:rFonts w:ascii="Consolas" w:cs="Consolas" w:eastAsia="Consolas" w:hAnsi="Consolas"/>
          <w:sz w:val="20"/>
          <w:szCs w:val="20"/>
        </w:rPr>
        <w:t xml:space="preserve">sum( x_i * invoice_value_i * P_accelerated_success_i )</w:t>
      </w:r>
      <w:r>
        <w:br/>
        <w:t xml:space="preserve"/>
      </w:r>
      <w:r>
        <w:rPr>
          <w:rFonts w:ascii="Consolas" w:cs="Consolas" w:eastAsia="Consolas" w:hAnsi="Consolas"/>
          <w:sz w:val="20"/>
          <w:szCs w:val="20"/>
        </w:rPr>
        <w:t xml:space="preserve">  + sum( y_j * delay_amount_j )</w:t>
      </w:r>
      <w:r>
        <w:br/>
        <w:t xml:space="preserve"/>
      </w:r>
      <w:r>
        <w:rPr>
          <w:rFonts w:ascii="Consolas" w:cs="Consolas" w:eastAsia="Consolas" w:hAnsi="Consolas"/>
          <w:sz w:val="20"/>
          <w:szCs w:val="20"/>
        </w:rPr>
        <w:t xml:space="preserve">  + z * credit_line_amount</w:t>
      </w:r>
      <w:r>
        <w:br/>
        <w:t xml:space="preserve"/>
      </w:r>
      <w:r>
        <w:rPr>
          <w:rFonts w:ascii="Consolas" w:cs="Consolas" w:eastAsia="Consolas" w:hAnsi="Consolas"/>
          <w:sz w:val="20"/>
          <w:szCs w:val="20"/>
        </w:rPr>
        <w:t xml:space="preserve">  &gt;= G</w:t>
      </w:r>
    </w:p>
    <w:p>
      <w:pPr>
        <w:spacing w:after="140" w:line="300"/>
      </w:pPr>
      <w:r>
        <w:rPr>
          <w:sz w:val="21"/>
          <w:szCs w:val="21"/>
        </w:rPr>
        <w:t xml:space="preserve">Where chase_cost_i is a small penalty representing effort/relationship risk of contacting that customer, relationship_cost_j represents the business cost of delaying that specific payable (delaying a supplier who tolerates it costs little; delaying salary costs a lot and should almost always be excluded via a hard constraint rather than left to the optimizer), financing_cost is the interest/fee cost of drawing credit, and P_accelerated_success_i is a modeled probability that actively chasing invoice i actually pulls its payment forward (itself learnable from historical outcomes of past chase actions logged in the system).</w:t>
      </w:r>
    </w:p>
    <w:p>
      <w:pPr>
        <w:spacing w:after="80" w:before="180"/>
      </w:pPr>
      <w:r>
        <w:rPr>
          <w:b/>
          <w:bCs/>
          <w:color w:val="1F3864"/>
          <w:sz w:val="21"/>
          <w:szCs w:val="21"/>
        </w:rPr>
        <w:t xml:space="preserve">Solvability</w:t>
      </w:r>
    </w:p>
    <w:p>
      <w:pPr>
        <w:spacing w:after="140" w:line="300"/>
      </w:pPr>
      <w:r>
        <w:rPr>
          <w:sz w:val="21"/>
          <w:szCs w:val="21"/>
        </w:rPr>
        <w:t xml:space="preserve">With a handful of open invoices and payables (the realistic scale for a single SME), this is a small binary optimization solvable instantly with a greedy heuristic for a live demo, or an exact integer program via a lightweight solver (e.g. PuLP or Google OR-Tools) if more rigor is wanted — both are trivial to implement in a hackathon.</w:t>
      </w:r>
    </w:p>
    <w:p>
      <w:pPr>
        <w:pStyle w:val="Heading2"/>
        <w:spacing w:after="100" w:before="260"/>
      </w:pPr>
      <w:r>
        <w:rPr>
          <w:b/>
          <w:bCs/>
          <w:color w:val="2E74B5"/>
          <w:sz w:val="24"/>
          <w:szCs w:val="24"/>
        </w:rPr>
        <w:t xml:space="preserve">6.3  Step 3 — Automate the action itself</w:t>
      </w:r>
    </w:p>
    <w:p>
      <w:pPr>
        <w:spacing w:after="140" w:line="300"/>
      </w:pPr>
      <w:r>
        <w:rPr>
          <w:sz w:val="21"/>
          <w:szCs w:val="21"/>
        </w:rPr>
        <w:t xml:space="preserve">Both reference production systems in Section 7 stopped being 'just a dashboard' the moment they started auto-drafting the actual outreach message and sending it at a behaviorally sensible time, rather than immediately or on a rigid fixed schedule. We do the same: for every invoice selected by the optimizer, the system pre-drafts a WhatsApp/SMS/email reminder in plain language, timed to typical response-rate windows, and the owner sends it with one tap rather than composing it from scratch.</w:t>
      </w:r>
    </w:p>
    <w:p>
      <w:pPr>
        <w:pStyle w:val="ListParagraph"/>
        <w:numPr>
          <w:ilvl w:val="0"/>
          <w:numId w:val="2"/>
        </w:numPr>
        <w:spacing w:after="70" w:line="280"/>
      </w:pPr>
      <w:r>
        <w:rPr>
          <w:b/>
          <w:bCs/>
          <w:sz w:val="21"/>
          <w:szCs w:val="21"/>
        </w:rPr>
        <w:t xml:space="preserve">Example generated message: </w:t>
      </w:r>
      <w:r>
        <w:rPr>
          <w:sz w:val="21"/>
          <w:szCs w:val="21"/>
        </w:rPr>
        <w:t xml:space="preserve">"Hi [Customer], following up on Invoice #1042 (Rs 45,000, due 12 days ago). Could you confirm an expected payment date? Thank you!" — tone kept professional and non-confrontational by template design, since a damaged customer relationship is itself a cost the optimizer already accounts for.</w:t>
      </w:r>
    </w:p>
    <w:p>
      <w:r>
        <w:br w:type="page"/>
      </w:r>
    </w:p>
    <w:p>
      <w:pPr>
        <w:pStyle w:val="Heading1"/>
        <w:pBdr>
          <w:bottom w:val="single" w:color="2E74B5" w:sz="6" w:space="4"/>
        </w:pBdr>
        <w:spacing w:after="160" w:before="360"/>
      </w:pPr>
      <w:r>
        <w:rPr>
          <w:b/>
          <w:bCs/>
          <w:color w:val="1F3864"/>
          <w:sz w:val="30"/>
          <w:szCs w:val="30"/>
        </w:rPr>
        <w:t xml:space="preserve">7. Reference Systems — What We Borrowed From Whom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900"/>
      </w:tblGrid>
      <w:tr>
        <w:trPr>
          <w:tblHeader/>
        </w:trPr>
        <w:tc>
          <w:tcPr>
            <w:tcW w:type="dxa" w:w="2600"/>
            <w:shd w:fill="1F3864" w:val="clear"/>
            <w:tcMar>
              <w:top w:type="dxa" w:w="70"/>
              <w:left w:type="dxa" w:w="100"/>
              <w:bottom w:type="dxa" w:w="70"/>
              <w:right w:type="dxa" w:w="100"/>
            </w:tcMar>
          </w:tcPr>
          <w:p>
            <w:pPr>
              <w:jc w:val="center"/>
            </w:pPr>
            <w:r>
              <w:rPr>
                <w:b/>
                <w:bCs/>
                <w:color w:val="FFFFFF"/>
                <w:sz w:val="19"/>
                <w:szCs w:val="19"/>
              </w:rPr>
              <w:t xml:space="preserve">System</w:t>
            </w:r>
          </w:p>
        </w:tc>
        <w:tc>
          <w:tcPr>
            <w:tcW w:type="dxa" w:w="3600"/>
            <w:shd w:fill="1F3864" w:val="clear"/>
            <w:tcMar>
              <w:top w:type="dxa" w:w="70"/>
              <w:left w:type="dxa" w:w="100"/>
              <w:bottom w:type="dxa" w:w="70"/>
              <w:right w:type="dxa" w:w="100"/>
            </w:tcMar>
          </w:tcPr>
          <w:p>
            <w:pPr>
              <w:jc w:val="center"/>
            </w:pPr>
            <w:r>
              <w:rPr>
                <w:b/>
                <w:bCs/>
                <w:color w:val="FFFFFF"/>
                <w:sz w:val="19"/>
                <w:szCs w:val="19"/>
              </w:rPr>
              <w:t xml:space="preserve">Core mechanism observed</w:t>
            </w:r>
          </w:p>
        </w:tc>
        <w:tc>
          <w:tcPr>
            <w:tcW w:type="dxa" w:w="2900"/>
            <w:shd w:fill="1F3864" w:val="clear"/>
            <w:tcMar>
              <w:top w:type="dxa" w:w="70"/>
              <w:left w:type="dxa" w:w="100"/>
              <w:bottom w:type="dxa" w:w="70"/>
              <w:right w:type="dxa" w:w="100"/>
            </w:tcMar>
          </w:tcPr>
          <w:p>
            <w:pPr>
              <w:jc w:val="center"/>
            </w:pPr>
            <w:r>
              <w:rPr>
                <w:b/>
                <w:bCs/>
                <w:color w:val="FFFFFF"/>
                <w:sz w:val="19"/>
                <w:szCs w:val="19"/>
              </w:rPr>
              <w:t xml:space="preserve">What we adopted</w:t>
            </w:r>
          </w:p>
        </w:tc>
      </w:tr>
      <w:tr>
        <w:tc>
          <w:tcPr>
            <w:tcW w:type="dxa" w:w="2600"/>
            <w:shd w:fill="F2F6FA" w:val="clear"/>
            <w:tcMar>
              <w:top w:type="dxa" w:w="70"/>
              <w:left w:type="dxa" w:w="100"/>
              <w:bottom w:type="dxa" w:w="70"/>
              <w:right w:type="dxa" w:w="100"/>
            </w:tcMar>
          </w:tcPr>
          <w:p>
            <w:pPr>
              <w:jc w:val="left"/>
            </w:pPr>
            <w:r>
              <w:rPr>
                <w:b w:val="false"/>
                <w:bCs w:val="false"/>
                <w:color w:val="000000"/>
                <w:sz w:val="19"/>
                <w:szCs w:val="19"/>
              </w:rPr>
              <w:t xml:space="preserve">Tesorio (US, AI treasury/AR platform)</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Day-level per-invoice ML predictions from ERP/bank/billing data; scenario simulation; AI agents auto-drafting follow-ups.</w:t>
            </w:r>
          </w:p>
        </w:tc>
        <w:tc>
          <w:tcPr>
            <w:tcW w:type="dxa" w:w="2900"/>
            <w:shd w:fill="F2F6FA" w:val="clear"/>
            <w:tcMar>
              <w:top w:type="dxa" w:w="70"/>
              <w:left w:type="dxa" w:w="100"/>
              <w:bottom w:type="dxa" w:w="70"/>
              <w:right w:type="dxa" w:w="100"/>
            </w:tcMar>
          </w:tcPr>
          <w:p>
            <w:pPr>
              <w:jc w:val="left"/>
            </w:pPr>
            <w:r>
              <w:rPr>
                <w:b w:val="false"/>
                <w:bCs w:val="false"/>
                <w:color w:val="000000"/>
                <w:sz w:val="19"/>
                <w:szCs w:val="19"/>
              </w:rPr>
              <w:t xml:space="preserve">Per-invoice (not aggregate) prediction as the base unit; scenario re-simulation as the what-if mechanism; automated drafted follow-ups.</w:t>
            </w:r>
          </w:p>
        </w:tc>
      </w:tr>
      <w:tr>
        <w:tc>
          <w:tcPr>
            <w:tcW w:type="dxa" w:w="2600"/>
            <w:shd w:fill="FFFFFF" w:val="clear"/>
            <w:tcMar>
              <w:top w:type="dxa" w:w="70"/>
              <w:left w:type="dxa" w:w="100"/>
              <w:bottom w:type="dxa" w:w="70"/>
              <w:right w:type="dxa" w:w="100"/>
            </w:tcMar>
          </w:tcPr>
          <w:p>
            <w:pPr>
              <w:jc w:val="left"/>
            </w:pPr>
            <w:r>
              <w:rPr>
                <w:b w:val="false"/>
                <w:bCs w:val="false"/>
                <w:color w:val="000000"/>
                <w:sz w:val="19"/>
                <w:szCs w:val="19"/>
              </w:rPr>
              <w:t xml:space="preserve">HighRadius (US, enterprise AR automation)</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Worklist prioritization scoring 20+ payment-behavior parameters, ranked by predicted 30-day delinquency risk; AI-timed dunning emails.</w:t>
            </w:r>
          </w:p>
        </w:tc>
        <w:tc>
          <w:tcPr>
            <w:tcW w:type="dxa" w:w="2900"/>
            <w:shd w:fill="FFFFFF" w:val="clear"/>
            <w:tcMar>
              <w:top w:type="dxa" w:w="70"/>
              <w:left w:type="dxa" w:w="100"/>
              <w:bottom w:type="dxa" w:w="70"/>
              <w:right w:type="dxa" w:w="100"/>
            </w:tcMar>
          </w:tcPr>
          <w:p>
            <w:pPr>
              <w:jc w:val="left"/>
            </w:pPr>
            <w:r>
              <w:rPr>
                <w:b w:val="false"/>
                <w:bCs w:val="false"/>
                <w:color w:val="000000"/>
                <w:sz w:val="19"/>
                <w:szCs w:val="19"/>
              </w:rPr>
              <w:t xml:space="preserve">Multi-factor risk scoring feeding a ranked worklist; timing the send rather than sending immediately.</w:t>
            </w:r>
          </w:p>
        </w:tc>
      </w:tr>
      <w:tr>
        <w:tc>
          <w:tcPr>
            <w:tcW w:type="dxa" w:w="2600"/>
            <w:shd w:fill="F2F6FA" w:val="clear"/>
            <w:tcMar>
              <w:top w:type="dxa" w:w="70"/>
              <w:left w:type="dxa" w:w="100"/>
              <w:bottom w:type="dxa" w:w="70"/>
              <w:right w:type="dxa" w:w="100"/>
            </w:tcMar>
          </w:tcPr>
          <w:p>
            <w:pPr>
              <w:jc w:val="left"/>
            </w:pPr>
            <w:r>
              <w:rPr>
                <w:b w:val="false"/>
                <w:bCs w:val="false"/>
                <w:color w:val="000000"/>
                <w:sz w:val="19"/>
                <w:szCs w:val="19"/>
              </w:rPr>
              <w:t xml:space="preserve">Appel et al. (academic, invoice prioritization)</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Expected Risk = Value x P(late) for prioritizing collections effort under finite resources.</w:t>
            </w:r>
          </w:p>
        </w:tc>
        <w:tc>
          <w:tcPr>
            <w:tcW w:type="dxa" w:w="2900"/>
            <w:shd w:fill="F2F6FA" w:val="clear"/>
            <w:tcMar>
              <w:top w:type="dxa" w:w="70"/>
              <w:left w:type="dxa" w:w="100"/>
              <w:bottom w:type="dxa" w:w="70"/>
              <w:right w:type="dxa" w:w="100"/>
            </w:tcMar>
          </w:tcPr>
          <w:p>
            <w:pPr>
              <w:jc w:val="left"/>
            </w:pPr>
            <w:r>
              <w:rPr>
                <w:b w:val="false"/>
                <w:bCs w:val="false"/>
                <w:color w:val="000000"/>
                <w:sz w:val="19"/>
                <w:szCs w:val="19"/>
              </w:rPr>
              <w:t xml:space="preserve">Adopted directly as the ranking formula in Section 6.1, extended with an urgency multiplier.</w:t>
            </w:r>
          </w:p>
        </w:tc>
      </w:tr>
      <w:tr>
        <w:tc>
          <w:tcPr>
            <w:tcW w:type="dxa" w:w="2600"/>
            <w:shd w:fill="FFFFFF" w:val="clear"/>
            <w:tcMar>
              <w:top w:type="dxa" w:w="70"/>
              <w:left w:type="dxa" w:w="100"/>
              <w:bottom w:type="dxa" w:w="70"/>
              <w:right w:type="dxa" w:w="100"/>
            </w:tcMar>
          </w:tcPr>
          <w:p>
            <w:pPr>
              <w:jc w:val="left"/>
            </w:pPr>
            <w:r>
              <w:rPr>
                <w:b w:val="false"/>
                <w:bCs w:val="false"/>
                <w:color w:val="000000"/>
                <w:sz w:val="19"/>
                <w:szCs w:val="19"/>
              </w:rPr>
              <w:t xml:space="preserve">Survival-analysis research (Cox / Random Survival Forests / discrete-time hazard models)</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Predicting a time-to-payment probability curve rather than a binary late/not-late label; customer-specific random effects; separate treatment of first-time vs. repeat debtors.</w:t>
            </w:r>
          </w:p>
        </w:tc>
        <w:tc>
          <w:tcPr>
            <w:tcW w:type="dxa" w:w="2900"/>
            <w:shd w:fill="FFFFFF" w:val="clear"/>
            <w:tcMar>
              <w:top w:type="dxa" w:w="70"/>
              <w:left w:type="dxa" w:w="100"/>
              <w:bottom w:type="dxa" w:w="70"/>
              <w:right w:type="dxa" w:w="100"/>
            </w:tcMar>
          </w:tcPr>
          <w:p>
            <w:pPr>
              <w:jc w:val="left"/>
            </w:pPr>
            <w:r>
              <w:rPr>
                <w:b w:val="false"/>
                <w:bCs w:val="false"/>
                <w:color w:val="000000"/>
                <w:sz w:val="19"/>
                <w:szCs w:val="19"/>
              </w:rPr>
              <w:t xml:space="preserve">The entire Layer-1 modeling framework (Section 4), including the personal_hazard_offset concept and the cold-start blending formula.</w:t>
            </w:r>
          </w:p>
        </w:tc>
      </w:tr>
      <w:tr>
        <w:tc>
          <w:tcPr>
            <w:tcW w:type="dxa" w:w="2600"/>
            <w:shd w:fill="F2F6FA" w:val="clear"/>
            <w:tcMar>
              <w:top w:type="dxa" w:w="70"/>
              <w:left w:type="dxa" w:w="100"/>
              <w:bottom w:type="dxa" w:w="70"/>
              <w:right w:type="dxa" w:w="100"/>
            </w:tcMar>
          </w:tcPr>
          <w:p>
            <w:pPr>
              <w:jc w:val="left"/>
            </w:pPr>
            <w:r>
              <w:rPr>
                <w:b w:val="false"/>
                <w:bCs w:val="false"/>
                <w:color w:val="000000"/>
                <w:sz w:val="19"/>
                <w:szCs w:val="19"/>
              </w:rPr>
              <w:t xml:space="preserve">CreditVidya (India, alternative/thin-file credit scoring)</w:t>
            </w:r>
          </w:p>
        </w:tc>
        <w:tc>
          <w:tcPr>
            <w:tcW w:type="dxa" w:w="3600"/>
            <w:shd w:fill="F2F6FA" w:val="clear"/>
            <w:tcMar>
              <w:top w:type="dxa" w:w="70"/>
              <w:left w:type="dxa" w:w="100"/>
              <w:bottom w:type="dxa" w:w="70"/>
              <w:right w:type="dxa" w:w="100"/>
            </w:tcMar>
          </w:tcPr>
          <w:p>
            <w:pPr>
              <w:jc w:val="left"/>
            </w:pPr>
            <w:r>
              <w:rPr>
                <w:b w:val="false"/>
                <w:bCs w:val="false"/>
                <w:color w:val="000000"/>
                <w:sz w:val="19"/>
                <w:szCs w:val="19"/>
              </w:rPr>
              <w:t xml:space="preserve">Scoring first-time borrowers with zero credit history using alternative behavioral data, refined as real repayment data accumulates.</w:t>
            </w:r>
          </w:p>
        </w:tc>
        <w:tc>
          <w:tcPr>
            <w:tcW w:type="dxa" w:w="2900"/>
            <w:shd w:fill="F2F6FA" w:val="clear"/>
            <w:tcMar>
              <w:top w:type="dxa" w:w="70"/>
              <w:left w:type="dxa" w:w="100"/>
              <w:bottom w:type="dxa" w:w="70"/>
              <w:right w:type="dxa" w:w="100"/>
            </w:tcMar>
          </w:tcPr>
          <w:p>
            <w:pPr>
              <w:jc w:val="left"/>
            </w:pPr>
            <w:r>
              <w:rPr>
                <w:b w:val="false"/>
                <w:bCs w:val="false"/>
                <w:color w:val="000000"/>
                <w:sz w:val="19"/>
                <w:szCs w:val="19"/>
              </w:rPr>
              <w:t xml:space="preserve">The cold-start philosophy underlying the Cohort Prior Engine — never block usefulness on 'not enough data.'</w:t>
            </w:r>
          </w:p>
        </w:tc>
      </w:tr>
      <w:tr>
        <w:tc>
          <w:tcPr>
            <w:tcW w:type="dxa" w:w="2600"/>
            <w:shd w:fill="FFFFFF" w:val="clear"/>
            <w:tcMar>
              <w:top w:type="dxa" w:w="70"/>
              <w:left w:type="dxa" w:w="100"/>
              <w:bottom w:type="dxa" w:w="70"/>
              <w:right w:type="dxa" w:w="100"/>
            </w:tcMar>
          </w:tcPr>
          <w:p>
            <w:pPr>
              <w:jc w:val="left"/>
            </w:pPr>
            <w:r>
              <w:rPr>
                <w:b w:val="false"/>
                <w:bCs w:val="false"/>
                <w:color w:val="000000"/>
                <w:sz w:val="19"/>
                <w:szCs w:val="19"/>
              </w:rPr>
              <w:t xml:space="preserve">Corporate treasury Cash-Flow-at-Risk / Monte Carlo practice</w:t>
            </w:r>
          </w:p>
        </w:tc>
        <w:tc>
          <w:tcPr>
            <w:tcW w:type="dxa" w:w="3600"/>
            <w:shd w:fill="FFFFFF" w:val="clear"/>
            <w:tcMar>
              <w:top w:type="dxa" w:w="70"/>
              <w:left w:type="dxa" w:w="100"/>
              <w:bottom w:type="dxa" w:w="70"/>
              <w:right w:type="dxa" w:w="100"/>
            </w:tcMar>
          </w:tcPr>
          <w:p>
            <w:pPr>
              <w:jc w:val="left"/>
            </w:pPr>
            <w:r>
              <w:rPr>
                <w:b w:val="false"/>
                <w:bCs w:val="false"/>
                <w:color w:val="000000"/>
                <w:sz w:val="19"/>
                <w:szCs w:val="19"/>
              </w:rPr>
              <w:t xml:space="preserve">Simulating many random future scenarios to produce a probability distribution of cash position rather than a point forecast.</w:t>
            </w:r>
          </w:p>
        </w:tc>
        <w:tc>
          <w:tcPr>
            <w:tcW w:type="dxa" w:w="2900"/>
            <w:shd w:fill="FFFFFF" w:val="clear"/>
            <w:tcMar>
              <w:top w:type="dxa" w:w="70"/>
              <w:left w:type="dxa" w:w="100"/>
              <w:bottom w:type="dxa" w:w="70"/>
              <w:right w:type="dxa" w:w="100"/>
            </w:tcMar>
          </w:tcPr>
          <w:p>
            <w:pPr>
              <w:jc w:val="left"/>
            </w:pPr>
            <w:r>
              <w:rPr>
                <w:b w:val="false"/>
                <w:bCs w:val="false"/>
                <w:color w:val="000000"/>
                <w:sz w:val="19"/>
                <w:szCs w:val="19"/>
              </w:rPr>
              <w:t xml:space="preserve">The entire Layer-2 simulation methodology (Section 5).</w:t>
            </w:r>
          </w:p>
        </w:tc>
      </w:tr>
    </w:tbl>
    <w:p>
      <w:r>
        <w:br w:type="page"/>
      </w:r>
    </w:p>
    <w:p>
      <w:pPr>
        <w:pStyle w:val="Heading1"/>
        <w:pBdr>
          <w:bottom w:val="single" w:color="2E74B5" w:sz="6" w:space="4"/>
        </w:pBdr>
        <w:spacing w:after="160" w:before="360"/>
      </w:pPr>
      <w:r>
        <w:rPr>
          <w:b/>
          <w:bCs/>
          <w:color w:val="1F3864"/>
          <w:sz w:val="30"/>
          <w:szCs w:val="30"/>
        </w:rPr>
        <w:t xml:space="preserve">8. Beyond Predict + Suggest — Judge-Proofing Checklist</w:t>
      </w:r>
    </w:p>
    <w:p>
      <w:pPr>
        <w:spacing w:after="140" w:line="300"/>
      </w:pPr>
      <w:r>
        <w:rPr>
          <w:sz w:val="21"/>
          <w:szCs w:val="21"/>
        </w:rPr>
        <w:t xml:space="preserve">Prediction and suggestion are necessary but not sufficient. The following features close the gaps that experienced reviewers will probe first, each mapped to the specific weakness it addresses.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5800"/>
      </w:tblGrid>
      <w:tr>
        <w:trPr>
          <w:tblHeader/>
        </w:trPr>
        <w:tc>
          <w:tcPr>
            <w:tcW w:type="dxa" w:w="3300"/>
            <w:shd w:fill="1F3864" w:val="clear"/>
            <w:tcMar>
              <w:top w:type="dxa" w:w="70"/>
              <w:left w:type="dxa" w:w="100"/>
              <w:bottom w:type="dxa" w:w="70"/>
              <w:right w:type="dxa" w:w="100"/>
            </w:tcMar>
          </w:tcPr>
          <w:p>
            <w:pPr>
              <w:jc w:val="center"/>
            </w:pPr>
            <w:r>
              <w:rPr>
                <w:b/>
                <w:bCs/>
                <w:color w:val="FFFFFF"/>
                <w:sz w:val="19"/>
                <w:szCs w:val="19"/>
              </w:rPr>
              <w:t xml:space="preserve">Feature</w:t>
            </w:r>
          </w:p>
        </w:tc>
        <w:tc>
          <w:tcPr>
            <w:tcW w:type="dxa" w:w="5800"/>
            <w:shd w:fill="1F3864" w:val="clear"/>
            <w:tcMar>
              <w:top w:type="dxa" w:w="70"/>
              <w:left w:type="dxa" w:w="100"/>
              <w:bottom w:type="dxa" w:w="70"/>
              <w:right w:type="dxa" w:w="100"/>
            </w:tcMar>
          </w:tcPr>
          <w:p>
            <w:pPr>
              <w:jc w:val="center"/>
            </w:pPr>
            <w:r>
              <w:rPr>
                <w:b/>
                <w:bCs/>
                <w:color w:val="FFFFFF"/>
                <w:sz w:val="19"/>
                <w:szCs w:val="19"/>
              </w:rPr>
              <w:t xml:space="preserve">What it addresses</w:t>
            </w:r>
          </w:p>
        </w:tc>
      </w:tr>
      <w:tr>
        <w:tc>
          <w:tcPr>
            <w:tcW w:type="dxa" w:w="3300"/>
            <w:shd w:fill="F2F6FA" w:val="clear"/>
            <w:tcMar>
              <w:top w:type="dxa" w:w="70"/>
              <w:left w:type="dxa" w:w="100"/>
              <w:bottom w:type="dxa" w:w="70"/>
              <w:right w:type="dxa" w:w="100"/>
            </w:tcMar>
          </w:tcPr>
          <w:p>
            <w:pPr>
              <w:jc w:val="left"/>
            </w:pPr>
            <w:r>
              <w:rPr>
                <w:b w:val="false"/>
                <w:bCs w:val="false"/>
                <w:color w:val="000000"/>
                <w:sz w:val="19"/>
                <w:szCs w:val="19"/>
              </w:rPr>
              <w:t xml:space="preserve">Explainability (top-3 factors per flag)</w:t>
            </w:r>
          </w:p>
        </w:tc>
        <w:tc>
          <w:tcPr>
            <w:tcW w:type="dxa" w:w="5800"/>
            <w:shd w:fill="F2F6FA" w:val="clear"/>
            <w:tcMar>
              <w:top w:type="dxa" w:w="70"/>
              <w:left w:type="dxa" w:w="100"/>
              <w:bottom w:type="dxa" w:w="70"/>
              <w:right w:type="dxa" w:w="100"/>
            </w:tcMar>
          </w:tcPr>
          <w:p>
            <w:pPr>
              <w:jc w:val="left"/>
            </w:pPr>
            <w:r>
              <w:rPr>
                <w:b w:val="false"/>
                <w:bCs w:val="false"/>
                <w:color w:val="000000"/>
                <w:sz w:val="19"/>
                <w:szCs w:val="19"/>
              </w:rPr>
              <w:t xml:space="preserve">"Why should I trust this?" — turns a black box into an auditable decision.</w:t>
            </w:r>
          </w:p>
        </w:tc>
      </w:tr>
      <w:tr>
        <w:tc>
          <w:tcPr>
            <w:tcW w:type="dxa" w:w="3300"/>
            <w:shd w:fill="FFFFFF" w:val="clear"/>
            <w:tcMar>
              <w:top w:type="dxa" w:w="70"/>
              <w:left w:type="dxa" w:w="100"/>
              <w:bottom w:type="dxa" w:w="70"/>
              <w:right w:type="dxa" w:w="100"/>
            </w:tcMar>
          </w:tcPr>
          <w:p>
            <w:pPr>
              <w:jc w:val="left"/>
            </w:pPr>
            <w:r>
              <w:rPr>
                <w:b w:val="false"/>
                <w:bCs w:val="false"/>
                <w:color w:val="000000"/>
                <w:sz w:val="19"/>
                <w:szCs w:val="19"/>
              </w:rPr>
              <w:t xml:space="preserve">Explicit uncertainty (confidence bands, not fake-precise numbers)</w:t>
            </w:r>
          </w:p>
        </w:tc>
        <w:tc>
          <w:tcPr>
            <w:tcW w:type="dxa" w:w="5800"/>
            <w:shd w:fill="FFFFFF" w:val="clear"/>
            <w:tcMar>
              <w:top w:type="dxa" w:w="70"/>
              <w:left w:type="dxa" w:w="100"/>
              <w:bottom w:type="dxa" w:w="70"/>
              <w:right w:type="dxa" w:w="100"/>
            </w:tcMar>
          </w:tcPr>
          <w:p>
            <w:pPr>
              <w:jc w:val="left"/>
            </w:pPr>
            <w:r>
              <w:rPr>
                <w:b w:val="false"/>
                <w:bCs w:val="false"/>
                <w:color w:val="000000"/>
                <w:sz w:val="19"/>
                <w:szCs w:val="19"/>
              </w:rPr>
              <w:t xml:space="preserve">"Your data is too sparse for that precision" — pre-empts the strongest technical objection by being honest about it upfront.</w:t>
            </w:r>
          </w:p>
        </w:tc>
      </w:tr>
      <w:tr>
        <w:tc>
          <w:tcPr>
            <w:tcW w:type="dxa" w:w="3300"/>
            <w:shd w:fill="F2F6FA" w:val="clear"/>
            <w:tcMar>
              <w:top w:type="dxa" w:w="70"/>
              <w:left w:type="dxa" w:w="100"/>
              <w:bottom w:type="dxa" w:w="70"/>
              <w:right w:type="dxa" w:w="100"/>
            </w:tcMar>
          </w:tcPr>
          <w:p>
            <w:pPr>
              <w:jc w:val="left"/>
            </w:pPr>
            <w:r>
              <w:rPr>
                <w:b w:val="false"/>
                <w:bCs w:val="false"/>
                <w:color w:val="000000"/>
                <w:sz w:val="19"/>
                <w:szCs w:val="19"/>
              </w:rPr>
              <w:t xml:space="preserve">Continuous learning loop with a visible improvement signal</w:t>
            </w:r>
          </w:p>
        </w:tc>
        <w:tc>
          <w:tcPr>
            <w:tcW w:type="dxa" w:w="5800"/>
            <w:shd w:fill="F2F6FA" w:val="clear"/>
            <w:tcMar>
              <w:top w:type="dxa" w:w="70"/>
              <w:left w:type="dxa" w:w="100"/>
              <w:bottom w:type="dxa" w:w="70"/>
              <w:right w:type="dxa" w:w="100"/>
            </w:tcMar>
          </w:tcPr>
          <w:p>
            <w:pPr>
              <w:jc w:val="left"/>
            </w:pPr>
            <w:r>
              <w:rPr>
                <w:b w:val="false"/>
                <w:bCs w:val="false"/>
                <w:color w:val="000000"/>
                <w:sz w:val="19"/>
                <w:szCs w:val="19"/>
              </w:rPr>
              <w:t xml:space="preserve">"How is this different from a static rule engine?" — shows the system genuinely learns per business.</w:t>
            </w:r>
          </w:p>
        </w:tc>
      </w:tr>
      <w:tr>
        <w:tc>
          <w:tcPr>
            <w:tcW w:type="dxa" w:w="3300"/>
            <w:shd w:fill="FFFFFF" w:val="clear"/>
            <w:tcMar>
              <w:top w:type="dxa" w:w="70"/>
              <w:left w:type="dxa" w:w="100"/>
              <w:bottom w:type="dxa" w:w="70"/>
              <w:right w:type="dxa" w:w="100"/>
            </w:tcMar>
          </w:tcPr>
          <w:p>
            <w:pPr>
              <w:jc w:val="left"/>
            </w:pPr>
            <w:r>
              <w:rPr>
                <w:b w:val="false"/>
                <w:bCs w:val="false"/>
                <w:color w:val="000000"/>
                <w:sz w:val="19"/>
                <w:szCs w:val="19"/>
              </w:rPr>
              <w:t xml:space="preserve">Cohort benchmarking across users</w:t>
            </w:r>
          </w:p>
        </w:tc>
        <w:tc>
          <w:tcPr>
            <w:tcW w:type="dxa" w:w="5800"/>
            <w:shd w:fill="FFFFFF" w:val="clear"/>
            <w:tcMar>
              <w:top w:type="dxa" w:w="70"/>
              <w:left w:type="dxa" w:w="100"/>
              <w:bottom w:type="dxa" w:w="70"/>
              <w:right w:type="dxa" w:w="100"/>
            </w:tcMar>
          </w:tcPr>
          <w:p>
            <w:pPr>
              <w:jc w:val="left"/>
            </w:pPr>
            <w:r>
              <w:rPr>
                <w:b w:val="false"/>
                <w:bCs w:val="false"/>
                <w:color w:val="000000"/>
                <w:sz w:val="19"/>
                <w:szCs w:val="19"/>
              </w:rPr>
              <w:t xml:space="preserve">"What stops a competitor copying this in a weekend?" — a genuine data network effect that strengthens with scale, not just a feature list.</w:t>
            </w:r>
          </w:p>
        </w:tc>
      </w:tr>
      <w:tr>
        <w:tc>
          <w:tcPr>
            <w:tcW w:type="dxa" w:w="3300"/>
            <w:shd w:fill="F2F6FA" w:val="clear"/>
            <w:tcMar>
              <w:top w:type="dxa" w:w="70"/>
              <w:left w:type="dxa" w:w="100"/>
              <w:bottom w:type="dxa" w:w="70"/>
              <w:right w:type="dxa" w:w="100"/>
            </w:tcMar>
          </w:tcPr>
          <w:p>
            <w:pPr>
              <w:jc w:val="left"/>
            </w:pPr>
            <w:r>
              <w:rPr>
                <w:b w:val="false"/>
                <w:bCs w:val="false"/>
                <w:color w:val="000000"/>
                <w:sz w:val="19"/>
                <w:szCs w:val="19"/>
              </w:rPr>
              <w:t xml:space="preserve">Automated, timed, pre-drafted actions (not just alerts)</w:t>
            </w:r>
          </w:p>
        </w:tc>
        <w:tc>
          <w:tcPr>
            <w:tcW w:type="dxa" w:w="5800"/>
            <w:shd w:fill="F2F6FA" w:val="clear"/>
            <w:tcMar>
              <w:top w:type="dxa" w:w="70"/>
              <w:left w:type="dxa" w:w="100"/>
              <w:bottom w:type="dxa" w:w="70"/>
              <w:right w:type="dxa" w:w="100"/>
            </w:tcMar>
          </w:tcPr>
          <w:p>
            <w:pPr>
              <w:jc w:val="left"/>
            </w:pPr>
            <w:r>
              <w:rPr>
                <w:b w:val="false"/>
                <w:bCs w:val="false"/>
                <w:color w:val="000000"/>
                <w:sz w:val="19"/>
                <w:szCs w:val="19"/>
              </w:rPr>
              <w:t xml:space="preserve">"So what does the owner actually do with this?" — the single highest-leverage demo moment; shows a full loop, not a dashboard.</w:t>
            </w:r>
          </w:p>
        </w:tc>
      </w:tr>
      <w:tr>
        <w:tc>
          <w:tcPr>
            <w:tcW w:type="dxa" w:w="3300"/>
            <w:shd w:fill="FFFFFF" w:val="clear"/>
            <w:tcMar>
              <w:top w:type="dxa" w:w="70"/>
              <w:left w:type="dxa" w:w="100"/>
              <w:bottom w:type="dxa" w:w="70"/>
              <w:right w:type="dxa" w:w="100"/>
            </w:tcMar>
          </w:tcPr>
          <w:p>
            <w:pPr>
              <w:jc w:val="left"/>
            </w:pPr>
            <w:r>
              <w:rPr>
                <w:b w:val="false"/>
                <w:bCs w:val="false"/>
                <w:color w:val="000000"/>
                <w:sz w:val="19"/>
                <w:szCs w:val="19"/>
              </w:rPr>
              <w:t xml:space="preserve">Embedded financing bridge for gaps that can't be closed by chasing/delaying alone</w:t>
            </w:r>
          </w:p>
        </w:tc>
        <w:tc>
          <w:tcPr>
            <w:tcW w:type="dxa" w:w="5800"/>
            <w:shd w:fill="FFFFFF" w:val="clear"/>
            <w:tcMar>
              <w:top w:type="dxa" w:w="70"/>
              <w:left w:type="dxa" w:w="100"/>
              <w:bottom w:type="dxa" w:w="70"/>
              <w:right w:type="dxa" w:w="100"/>
            </w:tcMar>
          </w:tcPr>
          <w:p>
            <w:pPr>
              <w:jc w:val="left"/>
            </w:pPr>
            <w:r>
              <w:rPr>
                <w:b w:val="false"/>
                <w:bCs w:val="false"/>
                <w:color w:val="000000"/>
                <w:sz w:val="19"/>
                <w:szCs w:val="19"/>
              </w:rPr>
              <w:t xml:space="preserve">"What happens when there's genuinely no way to close the gap?" — completes the loop instead of leaving the owner stranded with just bad news.</w:t>
            </w:r>
          </w:p>
        </w:tc>
      </w:tr>
      <w:tr>
        <w:tc>
          <w:tcPr>
            <w:tcW w:type="dxa" w:w="3300"/>
            <w:shd w:fill="F2F6FA" w:val="clear"/>
            <w:tcMar>
              <w:top w:type="dxa" w:w="70"/>
              <w:left w:type="dxa" w:w="100"/>
              <w:bottom w:type="dxa" w:w="70"/>
              <w:right w:type="dxa" w:w="100"/>
            </w:tcMar>
          </w:tcPr>
          <w:p>
            <w:pPr>
              <w:jc w:val="left"/>
            </w:pPr>
            <w:r>
              <w:rPr>
                <w:b w:val="false"/>
                <w:bCs w:val="false"/>
                <w:color w:val="000000"/>
                <w:sz w:val="19"/>
                <w:szCs w:val="19"/>
              </w:rPr>
              <w:t xml:space="preserve">Business-impact metrics for evaluation (not just model accuracy)</w:t>
            </w:r>
          </w:p>
        </w:tc>
        <w:tc>
          <w:tcPr>
            <w:tcW w:type="dxa" w:w="5800"/>
            <w:shd w:fill="F2F6FA" w:val="clear"/>
            <w:tcMar>
              <w:top w:type="dxa" w:w="70"/>
              <w:left w:type="dxa" w:w="100"/>
              <w:bottom w:type="dxa" w:w="70"/>
              <w:right w:type="dxa" w:w="100"/>
            </w:tcMar>
          </w:tcPr>
          <w:p>
            <w:pPr>
              <w:jc w:val="left"/>
            </w:pPr>
            <w:r>
              <w:rPr>
                <w:b w:val="false"/>
                <w:bCs w:val="false"/>
                <w:color w:val="000000"/>
                <w:sz w:val="19"/>
                <w:szCs w:val="19"/>
              </w:rPr>
              <w:t xml:space="preserve">"0.56 balanced accuracy doesn't sound impressive" — reframe the pitch around days of advance warning gained and percentage of simulated shortfalls caught before impact, not raw ML scores.</w:t>
            </w:r>
          </w:p>
        </w:tc>
      </w:tr>
      <w:tr>
        <w:tc>
          <w:tcPr>
            <w:tcW w:type="dxa" w:w="3300"/>
            <w:shd w:fill="FFFFFF" w:val="clear"/>
            <w:tcMar>
              <w:top w:type="dxa" w:w="70"/>
              <w:left w:type="dxa" w:w="100"/>
              <w:bottom w:type="dxa" w:w="70"/>
              <w:right w:type="dxa" w:w="100"/>
            </w:tcMar>
          </w:tcPr>
          <w:p>
            <w:pPr>
              <w:jc w:val="left"/>
            </w:pPr>
            <w:r>
              <w:rPr>
                <w:b w:val="false"/>
                <w:bCs w:val="false"/>
                <w:color w:val="000000"/>
                <w:sz w:val="19"/>
                <w:szCs w:val="19"/>
              </w:rPr>
              <w:t xml:space="preserve">Stated limitations slide</w:t>
            </w:r>
          </w:p>
        </w:tc>
        <w:tc>
          <w:tcPr>
            <w:tcW w:type="dxa" w:w="5800"/>
            <w:shd w:fill="FFFFFF" w:val="clear"/>
            <w:tcMar>
              <w:top w:type="dxa" w:w="70"/>
              <w:left w:type="dxa" w:w="100"/>
              <w:bottom w:type="dxa" w:w="70"/>
              <w:right w:type="dxa" w:w="100"/>
            </w:tcMar>
          </w:tcPr>
          <w:p>
            <w:pPr>
              <w:jc w:val="left"/>
            </w:pPr>
            <w:r>
              <w:rPr>
                <w:b w:val="false"/>
                <w:bCs w:val="false"/>
                <w:color w:val="000000"/>
                <w:sz w:val="19"/>
                <w:szCs w:val="19"/>
              </w:rPr>
              <w:t xml:space="preserve">"What breaks this?" — pre-empting this question with a clear, honest answer is stronger than hoping it isn't asked.</w:t>
            </w:r>
          </w:p>
        </w:tc>
      </w:tr>
    </w:tbl>
    <w:p>
      <w:pPr>
        <w:pStyle w:val="Heading2"/>
        <w:spacing w:after="100" w:before="260"/>
      </w:pPr>
      <w:r>
        <w:rPr>
          <w:b/>
          <w:bCs/>
          <w:color w:val="2E74B5"/>
          <w:sz w:val="24"/>
          <w:szCs w:val="24"/>
        </w:rPr>
        <w:t xml:space="preserve">8.7  Suggested evaluation metrics for the demo/judging</w:t>
      </w:r>
    </w:p>
    <w:p>
      <w:pPr>
        <w:pStyle w:val="ListParagraph"/>
        <w:numPr>
          <w:ilvl w:val="0"/>
          <w:numId w:val="2"/>
        </w:numPr>
        <w:spacing w:after="70" w:line="280"/>
      </w:pPr>
      <w:r>
        <w:rPr>
          <w:b/>
          <w:bCs/>
          <w:sz w:val="21"/>
          <w:szCs w:val="21"/>
        </w:rPr>
        <w:t xml:space="preserve">Lead-time gained: </w:t>
      </w:r>
      <w:r>
        <w:rPr>
          <w:sz w:val="21"/>
          <w:szCs w:val="21"/>
        </w:rPr>
        <w:t xml:space="preserve">average number of days before a real shortfall that the system's warning would have fired, measured on historical or synthetic data.</w:t>
      </w:r>
    </w:p>
    <w:p>
      <w:pPr>
        <w:pStyle w:val="ListParagraph"/>
        <w:numPr>
          <w:ilvl w:val="0"/>
          <w:numId w:val="2"/>
        </w:numPr>
        <w:spacing w:after="70" w:line="280"/>
      </w:pPr>
      <w:r>
        <w:rPr>
          <w:b/>
          <w:bCs/>
          <w:sz w:val="21"/>
          <w:szCs w:val="21"/>
        </w:rPr>
        <w:t xml:space="preserve">Shortfall catch rate: </w:t>
      </w:r>
      <w:r>
        <w:rPr>
          <w:sz w:val="21"/>
          <w:szCs w:val="21"/>
        </w:rPr>
        <w:t xml:space="preserve">percentage of simulated/historical shortfalls the system would have flagged at least N days in advance.</w:t>
      </w:r>
    </w:p>
    <w:p>
      <w:pPr>
        <w:pStyle w:val="ListParagraph"/>
        <w:numPr>
          <w:ilvl w:val="0"/>
          <w:numId w:val="2"/>
        </w:numPr>
        <w:spacing w:after="70" w:line="280"/>
      </w:pPr>
      <w:r>
        <w:rPr>
          <w:b/>
          <w:bCs/>
          <w:sz w:val="21"/>
          <w:szCs w:val="21"/>
        </w:rPr>
        <w:t xml:space="preserve">Calibration: </w:t>
      </w:r>
      <w:r>
        <w:rPr>
          <w:sz w:val="21"/>
          <w:szCs w:val="21"/>
        </w:rPr>
        <w:t xml:space="preserve">of the invoices the system said had an X% chance of being paid within 30 days, what fraction actually were — a direct, honest way to show the probabilities mean something.</w:t>
      </w:r>
    </w:p>
    <w:p>
      <w:pPr>
        <w:pStyle w:val="ListParagraph"/>
        <w:numPr>
          <w:ilvl w:val="0"/>
          <w:numId w:val="2"/>
        </w:numPr>
        <w:spacing w:after="70" w:line="280"/>
      </w:pPr>
      <w:r>
        <w:rPr>
          <w:b/>
          <w:bCs/>
          <w:sz w:val="21"/>
          <w:szCs w:val="21"/>
        </w:rPr>
        <w:t xml:space="preserve">Action adoption proxy: </w:t>
      </w:r>
      <w:r>
        <w:rPr>
          <w:sz w:val="21"/>
          <w:szCs w:val="21"/>
        </w:rPr>
        <w:t xml:space="preserve">in a live demo, show the one-tap message flow working end-to-end — this single moment does more persuasive work than any accuracy table.</w:t>
      </w:r>
    </w:p>
    <w:p>
      <w:r>
        <w:br w:type="page"/>
      </w:r>
    </w:p>
    <w:p>
      <w:pPr>
        <w:pStyle w:val="Heading1"/>
        <w:pBdr>
          <w:bottom w:val="single" w:color="2E74B5" w:sz="6" w:space="4"/>
        </w:pBdr>
        <w:spacing w:after="160" w:before="360"/>
      </w:pPr>
      <w:r>
        <w:rPr>
          <w:b/>
          <w:bCs/>
          <w:color w:val="1F3864"/>
          <w:sz w:val="30"/>
          <w:szCs w:val="30"/>
        </w:rPr>
        <w:t xml:space="preserve">9. MVP Scope &amp; Technical Stack (hackathon-feasible)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100"/>
      </w:tblGrid>
      <w:tr>
        <w:trPr>
          <w:tblHeader/>
        </w:trPr>
        <w:tc>
          <w:tcPr>
            <w:tcW w:type="dxa" w:w="2200"/>
            <w:shd w:fill="1F3864" w:val="clear"/>
            <w:tcMar>
              <w:top w:type="dxa" w:w="70"/>
              <w:left w:type="dxa" w:w="100"/>
              <w:bottom w:type="dxa" w:w="70"/>
              <w:right w:type="dxa" w:w="100"/>
            </w:tcMar>
          </w:tcPr>
          <w:p>
            <w:pPr>
              <w:jc w:val="center"/>
            </w:pPr>
            <w:r>
              <w:rPr>
                <w:b/>
                <w:bCs/>
                <w:color w:val="FFFFFF"/>
                <w:sz w:val="19"/>
                <w:szCs w:val="19"/>
              </w:rPr>
              <w:t xml:space="preserve">Layer</w:t>
            </w:r>
          </w:p>
        </w:tc>
        <w:tc>
          <w:tcPr>
            <w:tcW w:type="dxa" w:w="3800"/>
            <w:shd w:fill="1F3864" w:val="clear"/>
            <w:tcMar>
              <w:top w:type="dxa" w:w="70"/>
              <w:left w:type="dxa" w:w="100"/>
              <w:bottom w:type="dxa" w:w="70"/>
              <w:right w:type="dxa" w:w="100"/>
            </w:tcMar>
          </w:tcPr>
          <w:p>
            <w:pPr>
              <w:jc w:val="center"/>
            </w:pPr>
            <w:r>
              <w:rPr>
                <w:b/>
                <w:bCs/>
                <w:color w:val="FFFFFF"/>
                <w:sz w:val="19"/>
                <w:szCs w:val="19"/>
              </w:rPr>
              <w:t xml:space="preserve">Suggested tooling</w:t>
            </w:r>
          </w:p>
        </w:tc>
        <w:tc>
          <w:tcPr>
            <w:tcW w:type="dxa" w:w="3100"/>
            <w:shd w:fill="1F3864" w:val="clear"/>
            <w:tcMar>
              <w:top w:type="dxa" w:w="70"/>
              <w:left w:type="dxa" w:w="100"/>
              <w:bottom w:type="dxa" w:w="70"/>
              <w:right w:type="dxa" w:w="100"/>
            </w:tcMar>
          </w:tcPr>
          <w:p>
            <w:pPr>
              <w:jc w:val="center"/>
            </w:pPr>
            <w:r>
              <w:rPr>
                <w:b/>
                <w:bCs/>
                <w:color w:val="FFFFFF"/>
                <w:sz w:val="19"/>
                <w:szCs w:val="19"/>
              </w:rPr>
              <w:t xml:space="preserve">Notes</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Data schema &amp; storage</w:t>
            </w:r>
          </w:p>
        </w:tc>
        <w:tc>
          <w:tcPr>
            <w:tcW w:type="dxa" w:w="3800"/>
            <w:shd w:fill="F2F6FA" w:val="clear"/>
            <w:tcMar>
              <w:top w:type="dxa" w:w="70"/>
              <w:left w:type="dxa" w:w="100"/>
              <w:bottom w:type="dxa" w:w="70"/>
              <w:right w:type="dxa" w:w="100"/>
            </w:tcMar>
          </w:tcPr>
          <w:p>
            <w:pPr>
              <w:jc w:val="left"/>
            </w:pPr>
            <w:r>
              <w:rPr>
                <w:b w:val="false"/>
                <w:bCs w:val="false"/>
                <w:color w:val="000000"/>
                <w:sz w:val="19"/>
                <w:szCs w:val="19"/>
              </w:rPr>
              <w:t xml:space="preserve">SQLite/Postgres</w:t>
            </w:r>
          </w:p>
        </w:tc>
        <w:tc>
          <w:tcPr>
            <w:tcW w:type="dxa" w:w="3100"/>
            <w:shd w:fill="F2F6FA" w:val="clear"/>
            <w:tcMar>
              <w:top w:type="dxa" w:w="70"/>
              <w:left w:type="dxa" w:w="100"/>
              <w:bottom w:type="dxa" w:w="70"/>
              <w:right w:type="dxa" w:w="100"/>
            </w:tcMar>
          </w:tcPr>
          <w:p>
            <w:pPr>
              <w:jc w:val="left"/>
            </w:pPr>
            <w:r>
              <w:rPr>
                <w:b w:val="false"/>
                <w:bCs w:val="false"/>
                <w:color w:val="000000"/>
                <w:sz w:val="19"/>
                <w:szCs w:val="19"/>
              </w:rPr>
              <w:t xml:space="preserve">The 5-table schema in Section 3 is intentionally minimal.</w:t>
            </w:r>
          </w:p>
        </w:tc>
      </w:tr>
      <w:tr>
        <w:tc>
          <w:tcPr>
            <w:tcW w:type="dxa" w:w="2200"/>
            <w:shd w:fill="FFFFFF" w:val="clear"/>
            <w:tcMar>
              <w:top w:type="dxa" w:w="70"/>
              <w:left w:type="dxa" w:w="100"/>
              <w:bottom w:type="dxa" w:w="70"/>
              <w:right w:type="dxa" w:w="100"/>
            </w:tcMar>
          </w:tcPr>
          <w:p>
            <w:pPr>
              <w:jc w:val="left"/>
            </w:pPr>
            <w:r>
              <w:rPr>
                <w:b w:val="false"/>
                <w:bCs w:val="false"/>
                <w:color w:val="000000"/>
                <w:sz w:val="19"/>
                <w:szCs w:val="19"/>
              </w:rPr>
              <w:t xml:space="preserve">Layer 1 (survival model)</w:t>
            </w:r>
          </w:p>
        </w:tc>
        <w:tc>
          <w:tcPr>
            <w:tcW w:type="dxa" w:w="3800"/>
            <w:shd w:fill="FFFFFF" w:val="clear"/>
            <w:tcMar>
              <w:top w:type="dxa" w:w="70"/>
              <w:left w:type="dxa" w:w="100"/>
              <w:bottom w:type="dxa" w:w="70"/>
              <w:right w:type="dxa" w:w="100"/>
            </w:tcMar>
          </w:tcPr>
          <w:p>
            <w:pPr>
              <w:jc w:val="left"/>
            </w:pPr>
            <w:r>
              <w:rPr>
                <w:b w:val="false"/>
                <w:bCs w:val="false"/>
                <w:color w:val="000000"/>
                <w:sz w:val="19"/>
                <w:szCs w:val="19"/>
              </w:rPr>
              <w:t xml:space="preserve">Python: lifelines (Cox/discrete-time hazard) or scikit-survival (Random Survival Forest); plain logistic regression per time-bin as a fallback</w:t>
            </w:r>
          </w:p>
        </w:tc>
        <w:tc>
          <w:tcPr>
            <w:tcW w:type="dxa" w:w="3100"/>
            <w:shd w:fill="FFFFFF" w:val="clear"/>
            <w:tcMar>
              <w:top w:type="dxa" w:w="70"/>
              <w:left w:type="dxa" w:w="100"/>
              <w:bottom w:type="dxa" w:w="70"/>
              <w:right w:type="dxa" w:w="100"/>
            </w:tcMar>
          </w:tcPr>
          <w:p>
            <w:pPr>
              <w:jc w:val="left"/>
            </w:pPr>
            <w:r>
              <w:rPr>
                <w:b w:val="false"/>
                <w:bCs w:val="false"/>
                <w:color w:val="000000"/>
                <w:sz w:val="19"/>
                <w:szCs w:val="19"/>
              </w:rPr>
              <w:t xml:space="preserve">Start with the simplest model that outputs a full curve; upgrade only if time allows.</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Layer 2 (Monte Carlo simulator)</w:t>
            </w:r>
          </w:p>
        </w:tc>
        <w:tc>
          <w:tcPr>
            <w:tcW w:type="dxa" w:w="3800"/>
            <w:shd w:fill="F2F6FA" w:val="clear"/>
            <w:tcMar>
              <w:top w:type="dxa" w:w="70"/>
              <w:left w:type="dxa" w:w="100"/>
              <w:bottom w:type="dxa" w:w="70"/>
              <w:right w:type="dxa" w:w="100"/>
            </w:tcMar>
          </w:tcPr>
          <w:p>
            <w:pPr>
              <w:jc w:val="left"/>
            </w:pPr>
            <w:r>
              <w:rPr>
                <w:b w:val="false"/>
                <w:bCs w:val="false"/>
                <w:color w:val="000000"/>
                <w:sz w:val="19"/>
                <w:szCs w:val="19"/>
              </w:rPr>
              <w:t xml:space="preserve">NumPy vectorized sampling</w:t>
            </w:r>
          </w:p>
        </w:tc>
        <w:tc>
          <w:tcPr>
            <w:tcW w:type="dxa" w:w="3100"/>
            <w:shd w:fill="F2F6FA" w:val="clear"/>
            <w:tcMar>
              <w:top w:type="dxa" w:w="70"/>
              <w:left w:type="dxa" w:w="100"/>
              <w:bottom w:type="dxa" w:w="70"/>
              <w:right w:type="dxa" w:w="100"/>
            </w:tcMar>
          </w:tcPr>
          <w:p>
            <w:pPr>
              <w:jc w:val="left"/>
            </w:pPr>
            <w:r>
              <w:rPr>
                <w:b w:val="false"/>
                <w:bCs w:val="false"/>
                <w:color w:val="000000"/>
                <w:sz w:val="19"/>
                <w:szCs w:val="19"/>
              </w:rPr>
              <w:t xml:space="preserve">2,000 runs x 90 days x a few dozen invoices is near-instant; no need for a dedicated simulation library.</w:t>
            </w:r>
          </w:p>
        </w:tc>
      </w:tr>
      <w:tr>
        <w:tc>
          <w:tcPr>
            <w:tcW w:type="dxa" w:w="2200"/>
            <w:shd w:fill="FFFFFF" w:val="clear"/>
            <w:tcMar>
              <w:top w:type="dxa" w:w="70"/>
              <w:left w:type="dxa" w:w="100"/>
              <w:bottom w:type="dxa" w:w="70"/>
              <w:right w:type="dxa" w:w="100"/>
            </w:tcMar>
          </w:tcPr>
          <w:p>
            <w:pPr>
              <w:jc w:val="left"/>
            </w:pPr>
            <w:r>
              <w:rPr>
                <w:b w:val="false"/>
                <w:bCs w:val="false"/>
                <w:color w:val="000000"/>
                <w:sz w:val="19"/>
                <w:szCs w:val="19"/>
              </w:rPr>
              <w:t xml:space="preserve">Action optimization engine</w:t>
            </w:r>
          </w:p>
        </w:tc>
        <w:tc>
          <w:tcPr>
            <w:tcW w:type="dxa" w:w="3800"/>
            <w:shd w:fill="FFFFFF" w:val="clear"/>
            <w:tcMar>
              <w:top w:type="dxa" w:w="70"/>
              <w:left w:type="dxa" w:w="100"/>
              <w:bottom w:type="dxa" w:w="70"/>
              <w:right w:type="dxa" w:w="100"/>
            </w:tcMar>
          </w:tcPr>
          <w:p>
            <w:pPr>
              <w:jc w:val="left"/>
            </w:pPr>
            <w:r>
              <w:rPr>
                <w:b w:val="false"/>
                <w:bCs w:val="false"/>
                <w:color w:val="000000"/>
                <w:sz w:val="19"/>
                <w:szCs w:val="19"/>
              </w:rPr>
              <w:t xml:space="preserve">Greedy heuristic for the demo; PuLP or OR-Tools if time allows an exact solve</w:t>
            </w:r>
          </w:p>
        </w:tc>
        <w:tc>
          <w:tcPr>
            <w:tcW w:type="dxa" w:w="3100"/>
            <w:shd w:fill="FFFFFF" w:val="clear"/>
            <w:tcMar>
              <w:top w:type="dxa" w:w="70"/>
              <w:left w:type="dxa" w:w="100"/>
              <w:bottom w:type="dxa" w:w="70"/>
              <w:right w:type="dxa" w:w="100"/>
            </w:tcMar>
          </w:tcPr>
          <w:p>
            <w:pPr>
              <w:jc w:val="left"/>
            </w:pPr>
            <w:r>
              <w:rPr>
                <w:b w:val="false"/>
                <w:bCs w:val="false"/>
                <w:color w:val="000000"/>
                <w:sz w:val="19"/>
                <w:szCs w:val="19"/>
              </w:rPr>
              <w:t xml:space="preserve">Greedy-by-Expected-Risk is a defensible, explainable approximation and is far faster to build.</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Explainability</w:t>
            </w:r>
          </w:p>
        </w:tc>
        <w:tc>
          <w:tcPr>
            <w:tcW w:type="dxa" w:w="3800"/>
            <w:shd w:fill="F2F6FA" w:val="clear"/>
            <w:tcMar>
              <w:top w:type="dxa" w:w="70"/>
              <w:left w:type="dxa" w:w="100"/>
              <w:bottom w:type="dxa" w:w="70"/>
              <w:right w:type="dxa" w:w="100"/>
            </w:tcMar>
          </w:tcPr>
          <w:p>
            <w:pPr>
              <w:jc w:val="left"/>
            </w:pPr>
            <w:r>
              <w:rPr>
                <w:b w:val="false"/>
                <w:bCs w:val="false"/>
                <w:color w:val="000000"/>
                <w:sz w:val="19"/>
                <w:szCs w:val="19"/>
              </w:rPr>
              <w:t xml:space="preserve">Simple feature-contribution readout from the hazard model coefficients (no need for full SHAP in an MVP)</w:t>
            </w:r>
          </w:p>
        </w:tc>
        <w:tc>
          <w:tcPr>
            <w:tcW w:type="dxa" w:w="3100"/>
            <w:shd w:fill="F2F6FA" w:val="clear"/>
            <w:tcMar>
              <w:top w:type="dxa" w:w="70"/>
              <w:left w:type="dxa" w:w="100"/>
              <w:bottom w:type="dxa" w:w="70"/>
              <w:right w:type="dxa" w:w="100"/>
            </w:tcMar>
          </w:tcPr>
          <w:p>
            <w:pPr>
              <w:jc w:val="left"/>
            </w:pPr>
            <w:r>
              <w:rPr>
                <w:b w:val="false"/>
                <w:bCs w:val="false"/>
                <w:color w:val="000000"/>
                <w:sz w:val="19"/>
                <w:szCs w:val="19"/>
              </w:rPr>
              <w:t xml:space="preserve">Coefficients from a logistic/hazard model are already directly interpretable.</w:t>
            </w:r>
          </w:p>
        </w:tc>
      </w:tr>
      <w:tr>
        <w:tc>
          <w:tcPr>
            <w:tcW w:type="dxa" w:w="2200"/>
            <w:shd w:fill="FFFFFF" w:val="clear"/>
            <w:tcMar>
              <w:top w:type="dxa" w:w="70"/>
              <w:left w:type="dxa" w:w="100"/>
              <w:bottom w:type="dxa" w:w="70"/>
              <w:right w:type="dxa" w:w="100"/>
            </w:tcMar>
          </w:tcPr>
          <w:p>
            <w:pPr>
              <w:jc w:val="left"/>
            </w:pPr>
            <w:r>
              <w:rPr>
                <w:b w:val="false"/>
                <w:bCs w:val="false"/>
                <w:color w:val="000000"/>
                <w:sz w:val="19"/>
                <w:szCs w:val="19"/>
              </w:rPr>
              <w:t xml:space="preserve">Delivery</w:t>
            </w:r>
          </w:p>
        </w:tc>
        <w:tc>
          <w:tcPr>
            <w:tcW w:type="dxa" w:w="3800"/>
            <w:shd w:fill="FFFFFF" w:val="clear"/>
            <w:tcMar>
              <w:top w:type="dxa" w:w="70"/>
              <w:left w:type="dxa" w:w="100"/>
              <w:bottom w:type="dxa" w:w="70"/>
              <w:right w:type="dxa" w:w="100"/>
            </w:tcMar>
          </w:tcPr>
          <w:p>
            <w:pPr>
              <w:jc w:val="left"/>
            </w:pPr>
            <w:r>
              <w:rPr>
                <w:b w:val="false"/>
                <w:bCs w:val="false"/>
                <w:color w:val="000000"/>
                <w:sz w:val="19"/>
                <w:szCs w:val="19"/>
              </w:rPr>
              <w:t xml:space="preserve">Twilio/WhatsApp Business API sandbox, or even a mocked send for the demo</w:t>
            </w:r>
          </w:p>
        </w:tc>
        <w:tc>
          <w:tcPr>
            <w:tcW w:type="dxa" w:w="3100"/>
            <w:shd w:fill="FFFFFF" w:val="clear"/>
            <w:tcMar>
              <w:top w:type="dxa" w:w="70"/>
              <w:left w:type="dxa" w:w="100"/>
              <w:bottom w:type="dxa" w:w="70"/>
              <w:right w:type="dxa" w:w="100"/>
            </w:tcMar>
          </w:tcPr>
          <w:p>
            <w:pPr>
              <w:jc w:val="left"/>
            </w:pPr>
            <w:r>
              <w:rPr>
                <w:b w:val="false"/>
                <w:bCs w:val="false"/>
                <w:color w:val="000000"/>
                <w:sz w:val="19"/>
                <w:szCs w:val="19"/>
              </w:rPr>
              <w:t xml:space="preserve">The one-tap send is the flagship demo moment — worth prioritizing over model sophistication if time is tight.</w:t>
            </w:r>
          </w:p>
        </w:tc>
      </w:tr>
      <w:tr>
        <w:tc>
          <w:tcPr>
            <w:tcW w:type="dxa" w:w="2200"/>
            <w:shd w:fill="F2F6FA" w:val="clear"/>
            <w:tcMar>
              <w:top w:type="dxa" w:w="70"/>
              <w:left w:type="dxa" w:w="100"/>
              <w:bottom w:type="dxa" w:w="70"/>
              <w:right w:type="dxa" w:w="100"/>
            </w:tcMar>
          </w:tcPr>
          <w:p>
            <w:pPr>
              <w:jc w:val="left"/>
            </w:pPr>
            <w:r>
              <w:rPr>
                <w:b w:val="false"/>
                <w:bCs w:val="false"/>
                <w:color w:val="000000"/>
                <w:sz w:val="19"/>
                <w:szCs w:val="19"/>
              </w:rPr>
              <w:t xml:space="preserve">Dashboard</w:t>
            </w:r>
          </w:p>
        </w:tc>
        <w:tc>
          <w:tcPr>
            <w:tcW w:type="dxa" w:w="3800"/>
            <w:shd w:fill="F2F6FA" w:val="clear"/>
            <w:tcMar>
              <w:top w:type="dxa" w:w="70"/>
              <w:left w:type="dxa" w:w="100"/>
              <w:bottom w:type="dxa" w:w="70"/>
              <w:right w:type="dxa" w:w="100"/>
            </w:tcMar>
          </w:tcPr>
          <w:p>
            <w:pPr>
              <w:jc w:val="left"/>
            </w:pPr>
            <w:r>
              <w:rPr>
                <w:b w:val="false"/>
                <w:bCs w:val="false"/>
                <w:color w:val="000000"/>
                <w:sz w:val="19"/>
                <w:szCs w:val="19"/>
              </w:rPr>
              <w:t xml:space="preserve">Any lightweight frontend (Streamlit is fastest for a hackathon judge-facing demo)</w:t>
            </w:r>
          </w:p>
        </w:tc>
        <w:tc>
          <w:tcPr>
            <w:tcW w:type="dxa" w:w="3100"/>
            <w:shd w:fill="F2F6FA" w:val="clear"/>
            <w:tcMar>
              <w:top w:type="dxa" w:w="70"/>
              <w:left w:type="dxa" w:w="100"/>
              <w:bottom w:type="dxa" w:w="70"/>
              <w:right w:type="dxa" w:w="100"/>
            </w:tcMar>
          </w:tcPr>
          <w:p>
            <w:pPr>
              <w:jc w:val="left"/>
            </w:pPr>
            <w:r>
              <w:rPr>
                <w:b w:val="false"/>
                <w:bCs w:val="false"/>
                <w:color w:val="000000"/>
                <w:sz w:val="19"/>
                <w:szCs w:val="19"/>
              </w:rPr>
              <w:t xml:space="preserve">Prioritize showing the probability band and the ranked action list clearly over visual polish.</w:t>
            </w:r>
          </w:p>
        </w:tc>
      </w:tr>
    </w:tbl>
    <w:p>
      <w:pPr>
        <w:pStyle w:val="Heading2"/>
        <w:spacing w:after="100" w:before="260"/>
      </w:pPr>
      <w:r>
        <w:rPr>
          <w:b/>
          <w:bCs/>
          <w:color w:val="2E74B5"/>
          <w:sz w:val="24"/>
          <w:szCs w:val="24"/>
        </w:rPr>
        <w:t xml:space="preserve">9.1  Build order (if time-constrained)</w:t>
      </w:r>
    </w:p>
    <w:p>
      <w:pPr>
        <w:pStyle w:val="ListParagraph"/>
        <w:numPr>
          <w:ilvl w:val="0"/>
          <w:numId w:val="2"/>
        </w:numPr>
        <w:spacing w:after="70" w:line="280"/>
      </w:pPr>
      <w:r>
        <w:rPr>
          <w:b/>
          <w:bCs/>
          <w:sz w:val="21"/>
          <w:szCs w:val="21"/>
        </w:rPr>
        <w:t xml:space="preserve">1. </w:t>
      </w:r>
      <w:r>
        <w:rPr>
          <w:sz w:val="21"/>
          <w:szCs w:val="21"/>
        </w:rPr>
        <w:t xml:space="preserve">Data schema + a small synthetic/sample dataset of invoices and payables.</w:t>
      </w:r>
    </w:p>
    <w:p>
      <w:pPr>
        <w:pStyle w:val="ListParagraph"/>
        <w:numPr>
          <w:ilvl w:val="0"/>
          <w:numId w:val="2"/>
        </w:numPr>
        <w:spacing w:after="70" w:line="280"/>
      </w:pPr>
      <w:r>
        <w:rPr>
          <w:b/>
          <w:bCs/>
          <w:sz w:val="21"/>
          <w:szCs w:val="21"/>
        </w:rPr>
        <w:t xml:space="preserve">2. </w:t>
      </w:r>
      <w:r>
        <w:rPr>
          <w:sz w:val="21"/>
          <w:szCs w:val="21"/>
        </w:rPr>
        <w:t xml:space="preserve">Layer 1 with the cold-start blending formula — this alone is demoable and is the most technically defensible piece.</w:t>
      </w:r>
    </w:p>
    <w:p>
      <w:pPr>
        <w:pStyle w:val="ListParagraph"/>
        <w:numPr>
          <w:ilvl w:val="0"/>
          <w:numId w:val="2"/>
        </w:numPr>
        <w:spacing w:after="70" w:line="280"/>
      </w:pPr>
      <w:r>
        <w:rPr>
          <w:b/>
          <w:bCs/>
          <w:sz w:val="21"/>
          <w:szCs w:val="21"/>
        </w:rPr>
        <w:t xml:space="preserve">3. </w:t>
      </w:r>
      <w:r>
        <w:rPr>
          <w:sz w:val="21"/>
          <w:szCs w:val="21"/>
        </w:rPr>
        <w:t xml:space="preserve">Layer 2 Monte Carlo simulator producing the probability band chart — highly visual, strong demo impact.</w:t>
      </w:r>
    </w:p>
    <w:p>
      <w:pPr>
        <w:pStyle w:val="ListParagraph"/>
        <w:numPr>
          <w:ilvl w:val="0"/>
          <w:numId w:val="2"/>
        </w:numPr>
        <w:spacing w:after="70" w:line="280"/>
      </w:pPr>
      <w:r>
        <w:rPr>
          <w:b/>
          <w:bCs/>
          <w:sz w:val="21"/>
          <w:szCs w:val="21"/>
        </w:rPr>
        <w:t xml:space="preserve">4. </w:t>
      </w:r>
      <w:r>
        <w:rPr>
          <w:sz w:val="21"/>
          <w:szCs w:val="21"/>
        </w:rPr>
        <w:t xml:space="preserve">Expected-Risk ranked action list (Section 6.1) — cheap to build, high explanatory value.</w:t>
      </w:r>
    </w:p>
    <w:p>
      <w:pPr>
        <w:pStyle w:val="ListParagraph"/>
        <w:numPr>
          <w:ilvl w:val="0"/>
          <w:numId w:val="2"/>
        </w:numPr>
        <w:spacing w:after="70" w:line="280"/>
      </w:pPr>
      <w:r>
        <w:rPr>
          <w:b/>
          <w:bCs/>
          <w:sz w:val="21"/>
          <w:szCs w:val="21"/>
        </w:rPr>
        <w:t xml:space="preserve">5. </w:t>
      </w:r>
      <w:r>
        <w:rPr>
          <w:sz w:val="21"/>
          <w:szCs w:val="21"/>
        </w:rPr>
        <w:t xml:space="preserve">One-tap drafted message flow — even mocked, this is the moment that proves the loop is complete.</w:t>
      </w:r>
    </w:p>
    <w:p>
      <w:pPr>
        <w:pStyle w:val="ListParagraph"/>
        <w:numPr>
          <w:ilvl w:val="0"/>
          <w:numId w:val="2"/>
        </w:numPr>
        <w:spacing w:after="70" w:line="280"/>
      </w:pPr>
      <w:r>
        <w:rPr>
          <w:b/>
          <w:bCs/>
          <w:sz w:val="21"/>
          <w:szCs w:val="21"/>
        </w:rPr>
        <w:t xml:space="preserve">6. </w:t>
      </w:r>
      <w:r>
        <w:rPr>
          <w:sz w:val="21"/>
          <w:szCs w:val="21"/>
        </w:rPr>
        <w:t xml:space="preserve">Optimization engine and financing bridge — build these last; they strengthen the pitch but the system is still coherent and demoable without them if time runs out.</w:t>
      </w:r>
    </w:p>
    <w:p>
      <w:r>
        <w:br w:type="page"/>
      </w:r>
    </w:p>
    <w:p>
      <w:pPr>
        <w:pStyle w:val="Heading1"/>
        <w:pBdr>
          <w:bottom w:val="single" w:color="2E74B5" w:sz="6" w:space="4"/>
        </w:pBdr>
        <w:spacing w:after="160" w:before="360"/>
      </w:pPr>
      <w:r>
        <w:rPr>
          <w:b/>
          <w:bCs/>
          <w:color w:val="1F3864"/>
          <w:sz w:val="30"/>
          <w:szCs w:val="30"/>
        </w:rPr>
        <w:t xml:space="preserve">10. Limitations &amp; Roadmap</w:t>
      </w:r>
    </w:p>
    <w:p>
      <w:pPr>
        <w:pStyle w:val="Heading2"/>
        <w:spacing w:after="100" w:before="260"/>
      </w:pPr>
      <w:r>
        <w:rPr>
          <w:b/>
          <w:bCs/>
          <w:color w:val="2E74B5"/>
          <w:sz w:val="24"/>
          <w:szCs w:val="24"/>
        </w:rPr>
        <w:t xml:space="preserve">10.1  Known limitations (state these proactively)</w:t>
      </w:r>
    </w:p>
    <w:p>
      <w:pPr>
        <w:pStyle w:val="ListParagraph"/>
        <w:numPr>
          <w:ilvl w:val="0"/>
          <w:numId w:val="2"/>
        </w:numPr>
        <w:spacing w:after="70" w:line="280"/>
      </w:pPr>
      <w:r>
        <w:rPr>
          <w:sz w:val="21"/>
          <w:szCs w:val="21"/>
        </w:rPr>
        <w:t xml:space="preserve">Personalized predictions are genuinely low-confidence until a customer relationship has roughly 5-10 invoices of history — the cohort prior fills this gap but is, by construction, less precise than a personalized model.</w:t>
      </w:r>
    </w:p>
    <w:p>
      <w:pPr>
        <w:pStyle w:val="ListParagraph"/>
        <w:numPr>
          <w:ilvl w:val="0"/>
          <w:numId w:val="2"/>
        </w:numPr>
        <w:spacing w:after="70" w:line="280"/>
      </w:pPr>
      <w:r>
        <w:rPr>
          <w:sz w:val="21"/>
          <w:szCs w:val="21"/>
        </w:rPr>
        <w:t xml:space="preserve">The P_accelerated_success_i parameter in the optimization (Section 6.2) starts as a reasonable estimate and only becomes well-calibrated once the system has logged real outcomes of past chase actions.</w:t>
      </w:r>
    </w:p>
    <w:p>
      <w:pPr>
        <w:pStyle w:val="ListParagraph"/>
        <w:numPr>
          <w:ilvl w:val="0"/>
          <w:numId w:val="2"/>
        </w:numPr>
        <w:spacing w:after="70" w:line="280"/>
      </w:pPr>
      <w:r>
        <w:rPr>
          <w:sz w:val="21"/>
          <w:szCs w:val="21"/>
        </w:rPr>
        <w:t xml:space="preserve">Relationship-cost and financing-cost parameters in the optimizer are initially heuristic/user-configurable; they can be learned from behavior over time but should not be presented as precisely calibrated on day one.</w:t>
      </w:r>
    </w:p>
    <w:p>
      <w:pPr>
        <w:pStyle w:val="Heading2"/>
        <w:spacing w:after="100" w:before="260"/>
      </w:pPr>
      <w:r>
        <w:rPr>
          <w:b/>
          <w:bCs/>
          <w:color w:val="2E74B5"/>
          <w:sz w:val="24"/>
          <w:szCs w:val="24"/>
        </w:rPr>
        <w:t xml:space="preserve">10.2  Roadmap beyond MVP</w:t>
      </w:r>
    </w:p>
    <w:p>
      <w:pPr>
        <w:pStyle w:val="ListParagraph"/>
        <w:numPr>
          <w:ilvl w:val="0"/>
          <w:numId w:val="2"/>
        </w:numPr>
        <w:spacing w:after="70" w:line="280"/>
      </w:pPr>
      <w:r>
        <w:rPr>
          <w:sz w:val="21"/>
          <w:szCs w:val="21"/>
        </w:rPr>
        <w:t xml:space="preserve">Upgrade Layer 1 to Random Survival Forests once enough platform-wide data exists to support a non-parametric model.</w:t>
      </w:r>
    </w:p>
    <w:p>
      <w:pPr>
        <w:pStyle w:val="ListParagraph"/>
        <w:numPr>
          <w:ilvl w:val="0"/>
          <w:numId w:val="2"/>
        </w:numPr>
        <w:spacing w:after="70" w:line="280"/>
      </w:pPr>
      <w:r>
        <w:rPr>
          <w:sz w:val="21"/>
          <w:szCs w:val="21"/>
        </w:rPr>
        <w:t xml:space="preserve">Learn P_accelerated_success_i per customer/action-type from logged outcomes rather than using a fixed heuristic.</w:t>
      </w:r>
    </w:p>
    <w:p>
      <w:pPr>
        <w:pStyle w:val="ListParagraph"/>
        <w:numPr>
          <w:ilvl w:val="0"/>
          <w:numId w:val="2"/>
        </w:numPr>
        <w:spacing w:after="70" w:line="280"/>
      </w:pPr>
      <w:r>
        <w:rPr>
          <w:sz w:val="21"/>
          <w:szCs w:val="21"/>
        </w:rPr>
        <w:t xml:space="preserve">Expand the cohort model with real anonymized cross-business benchmarking as the user base grows — the genuine data-moat argument.</w:t>
      </w:r>
    </w:p>
    <w:p>
      <w:pPr>
        <w:pStyle w:val="ListParagraph"/>
        <w:numPr>
          <w:ilvl w:val="0"/>
          <w:numId w:val="2"/>
        </w:numPr>
        <w:spacing w:after="70" w:line="280"/>
      </w:pPr>
      <w:r>
        <w:rPr>
          <w:sz w:val="21"/>
          <w:szCs w:val="21"/>
        </w:rPr>
        <w:t xml:space="preserve">Integrate a real invoice-discounting/short-term-credit partner behind the Embedded Financing Bridge rather than a placeholder estimate.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Predictive Cash-Flow System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08fe7994e9011872f2d31beba262b8dc5d35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2026-09-06T05:17:05.248Z</dcterms:created>
  <dcterms:modified xsi:type="dcterms:W3CDTF">2026-09-06T05:17:05.249Z</dcterms:modified>
</cp:coreProperties>
</file>

<file path=docProps/custom.xml><?xml version="1.0" encoding="utf-8"?>
<Properties xmlns="http://schemas.openxmlformats.org/officeDocument/2006/custom-properties" xmlns:vt="http://schemas.openxmlformats.org/officeDocument/2006/docPropsVTypes"/>
</file>