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8"/>
          <w:szCs w:val="48"/>
        </w:rPr>
        <w:t xml:space="preserve">Procure360</w:t>
      </w:r>
    </w:p>
    <w:p>
      <w:pPr>
        <w:spacing w:after="40"/>
        <w:jc w:val="center"/>
      </w:pPr>
      <w:r>
        <w:rPr>
          <w:i/>
          <w:iCs/>
          <w:color w:val="444444"/>
          <w:sz w:val="26"/>
          <w:szCs w:val="26"/>
        </w:rPr>
        <w:t xml:space="preserve">An Accountable AI Copilot for Construction Procurement</w:t>
      </w:r>
    </w:p>
    <w:p>
      <w:pPr>
        <w:spacing w:after="300"/>
        <w:jc w:val="center"/>
      </w:pPr>
      <w:r>
        <w:rPr>
          <w:color w:val="666666"/>
          <w:sz w:val="22"/>
          <w:szCs w:val="22"/>
        </w:rPr>
        <w:t xml:space="preserve">Kaya AI India Hackathon 2026 — Track 3: Procurement</w:t>
      </w:r>
    </w:p>
    <w:p>
      <w:pPr>
        <w:spacing w:after="100" w:before="200"/>
      </w:pPr>
      <w:r>
        <w:rPr>
          <w:b/>
          <w:bCs/>
          <w:color w:val="1F4E5F"/>
          <w:sz w:val="24"/>
          <w:szCs w:val="24"/>
        </w:rPr>
        <w:t xml:space="preserve">Team Information</w:t>
      </w:r>
    </w:p>
    <w:p>
      <w:pPr>
        <w:spacing w:after="160" w:line="276"/>
      </w:pPr>
      <w:r>
        <w:t xml:space="preserve">Team Name: [Insert Team Name]</w:t>
      </w:r>
    </w:p>
    <w:p>
      <w:pPr>
        <w:spacing w:after="160" w:line="276"/>
      </w:pPr>
      <w:r>
        <w:t xml:space="preserve">Members (Name — College Affiliation):</w:t>
      </w:r>
    </w:p>
    <w:p>
      <w:pPr>
        <w:pStyle w:val="ListParagraph"/>
        <w:numPr>
          <w:ilvl w:val="0"/>
          <w:numId w:val="2"/>
        </w:numPr>
        <w:spacing w:after="80" w:line="264"/>
      </w:pPr>
      <w:r>
        <w:t xml:space="preserve">[Member 1 Name] — [College]</w:t>
      </w:r>
    </w:p>
    <w:p>
      <w:pPr>
        <w:pStyle w:val="ListParagraph"/>
        <w:numPr>
          <w:ilvl w:val="0"/>
          <w:numId w:val="2"/>
        </w:numPr>
        <w:spacing w:after="80" w:line="264"/>
      </w:pPr>
      <w:r>
        <w:t xml:space="preserve">[Member 2 Name] — [College]</w:t>
      </w:r>
    </w:p>
    <w:p>
      <w:pPr>
        <w:pStyle w:val="ListParagraph"/>
        <w:numPr>
          <w:ilvl w:val="0"/>
          <w:numId w:val="2"/>
        </w:numPr>
        <w:spacing w:after="80" w:line="264"/>
      </w:pPr>
      <w:r>
        <w:t xml:space="preserve">[Member 3 Name] — [College]</w:t>
      </w:r>
    </w:p>
    <w:p>
      <w:pPr>
        <w:pStyle w:val="ListParagraph"/>
        <w:numPr>
          <w:ilvl w:val="0"/>
          <w:numId w:val="2"/>
        </w:numPr>
        <w:spacing w:after="80" w:line="264"/>
      </w:pPr>
      <w:r>
        <w:t xml:space="preserve">[Member 4 Name] — [College]</w:t>
      </w:r>
    </w:p>
    <w:p>
      <w:pPr>
        <w:pStyle w:val="Heading1"/>
        <w:spacing w:after="160" w:before="320"/>
      </w:pPr>
      <w:r>
        <w:rPr>
          <w:b/>
          <w:bCs/>
          <w:color w:val="1F4E5F"/>
        </w:rPr>
        <w:t xml:space="preserve">1. The Problem</w:t>
      </w:r>
    </w:p>
    <w:p>
      <w:pPr>
        <w:spacing w:after="160" w:line="276"/>
      </w:pPr>
      <w:r>
        <w:t xml:space="preserve">Construction procurement runs on contracts, purchase orders, invoices, bids, and vendor relationships — and almost all of it still depends on manual review, disconnected systems, and people catching problems too late. This is not a hypothetical inefficiency; it is a daily, well-documented pain point across the industry.</w:t>
      </w:r>
    </w:p>
    <w:p>
      <w:pPr>
        <w:spacing w:after="160" w:line="276"/>
      </w:pPr>
      <w:r>
        <w:t xml:space="preserve">Practitioner discussions across construction and procurement communities converge on the same failure modes:</w:t>
      </w:r>
    </w:p>
    <w:p>
      <w:pPr>
        <w:pStyle w:val="ListParagraph"/>
        <w:numPr>
          <w:ilvl w:val="0"/>
          <w:numId w:val="2"/>
        </w:numPr>
        <w:spacing w:after="80" w:line="264"/>
      </w:pPr>
      <w:r>
        <w:t xml:space="preserve">Gut-feel decision-making: an estimated 60–70% of allocation and vendor-comparison decisions are still driven by gut feel, executive pressure, or whoever raises the loudest objection, rather than structured data.</w:t>
      </w:r>
    </w:p>
    <w:p>
      <w:pPr>
        <w:pStyle w:val="ListParagraph"/>
        <w:numPr>
          <w:ilvl w:val="0"/>
          <w:numId w:val="2"/>
        </w:numPr>
        <w:spacing w:after="80" w:line="264"/>
      </w:pPr>
      <w:r>
        <w:t xml:space="preserve">Fixed-bid pricing is breaking down: standard RFPs once held pricing for 90–120 days; today, suppliers refuse to guarantee prices that long as material costs for some items have surged over 300% in recent years, leaving procurement teams to gamble on timing.</w:t>
      </w:r>
    </w:p>
    <w:p>
      <w:pPr>
        <w:pStyle w:val="ListParagraph"/>
        <w:numPr>
          <w:ilvl w:val="0"/>
          <w:numId w:val="2"/>
        </w:numPr>
        <w:spacing w:after="80" w:line="264"/>
      </w:pPr>
      <w:r>
        <w:t xml:space="preserve">Contract ignorance and stakeholder misalignment: project managers and operations staff rarely read contracts in full, forcing procurement to manually “spoon-feed” key terms — and absorb the blame when those terms are ignored.</w:t>
      </w:r>
    </w:p>
    <w:p>
      <w:pPr>
        <w:pStyle w:val="ListParagraph"/>
        <w:numPr>
          <w:ilvl w:val="0"/>
          <w:numId w:val="2"/>
        </w:numPr>
        <w:spacing w:after="80" w:line="264"/>
      </w:pPr>
      <w:r>
        <w:t xml:space="preserve">Bureaucratic bottlenecks: contract approvals frequently take over a month due to legal and internal review, while accounts-payable delays strain supplier relationships and sometimes cause suppliers to withhold materials until invoices clear.</w:t>
      </w:r>
    </w:p>
    <w:p>
      <w:pPr>
        <w:spacing w:after="160" w:line="276"/>
      </w:pPr>
      <w:r>
        <w:t xml:space="preserve">These problems compound: a missed contract clause becomes a costly change order; an un-flagged invoice mismatch becomes a payment dispute; an unvetted bid becomes a schedule risk discovered months later. Procurement teams need a system that catches these problems early, explains why it caught them, and keeps a record a human can trust and act on.</w:t>
      </w:r>
    </w:p>
    <w:p>
      <w:pPr>
        <w:pStyle w:val="Heading1"/>
        <w:spacing w:after="160" w:before="320"/>
      </w:pPr>
      <w:r>
        <w:rPr>
          <w:b/>
          <w:bCs/>
          <w:color w:val="1F4E5F"/>
        </w:rPr>
        <w:t xml:space="preserve">2. Our Solution</w:t>
      </w:r>
    </w:p>
    <w:p>
      <w:pPr>
        <w:spacing w:after="160" w:line="276"/>
      </w:pPr>
      <w:r>
        <w:t xml:space="preserve">Procure360 is an AI copilot that covers the full procurement lifecycle — from comparing vendor bids, to reviewing the resulting contract, to reconciling purchase orders against invoices, to tracking vendor reliability over time. Each stage is a self-contained module; together they form one continuous, auditable pipeline rather than four disconnected tools.</w:t>
      </w:r>
    </w:p>
    <w:p>
      <w:pPr>
        <w:spacing w:after="100" w:before="200"/>
      </w:pPr>
      <w:r>
        <w:rPr>
          <w:b/>
          <w:bCs/>
          <w:color w:val="1F4E5F"/>
          <w:sz w:val="24"/>
          <w:szCs w:val="24"/>
        </w:rPr>
        <w:t xml:space="preserve">Module 1 — Bid Comparison &amp; Price-Hold Risk Analyst</w:t>
      </w:r>
    </w:p>
    <w:p>
      <w:pPr>
        <w:spacing w:after="160" w:line="276"/>
      </w:pPr>
      <w:r>
        <w:t xml:space="preserve">Ingests multiple vendor bids (PDF or spreadsheet) and normalizes pricing, lead times, and terms into a single ranked comparison. Includes a price-hold risk flag: given a bid's quoted hold period and current material cost volatility, the system flags line items where the vendor's fixed-price commitment is unrealistic to sustain — directly addressing the fixed-bid pricing collapse procurement teams report today.</w:t>
      </w:r>
    </w:p>
    <w:p>
      <w:pPr>
        <w:spacing w:after="100" w:before="200"/>
      </w:pPr>
      <w:r>
        <w:rPr>
          <w:b/>
          <w:bCs/>
          <w:color w:val="1F4E5F"/>
          <w:sz w:val="24"/>
          <w:szCs w:val="24"/>
        </w:rPr>
        <w:t xml:space="preserve">Module 2 — Contract Risk Scanner</w:t>
      </w:r>
    </w:p>
    <w:p>
      <w:pPr>
        <w:spacing w:after="160" w:line="276"/>
      </w:pPr>
      <w:r>
        <w:t xml:space="preserve">Once a bid is selected, scans the resulting contract for unusual liability clauses, non-standard payment terms, and deviations from expected language — surfacing the handful of details a project manager actually needs to know, instead of requiring procurement to manually walk them through the full document.</w:t>
      </w:r>
    </w:p>
    <w:p>
      <w:pPr>
        <w:spacing w:after="100" w:before="200"/>
      </w:pPr>
      <w:r>
        <w:rPr>
          <w:b/>
          <w:bCs/>
          <w:color w:val="1F4E5F"/>
          <w:sz w:val="24"/>
          <w:szCs w:val="24"/>
        </w:rPr>
        <w:t xml:space="preserve">Module 3 — PO–Invoice Reconciliation</w:t>
      </w:r>
    </w:p>
    <w:p>
      <w:pPr>
        <w:spacing w:after="160" w:line="276"/>
      </w:pPr>
      <w:r>
        <w:t xml:space="preserve">Matches purchase orders against incoming invoices and flags quantity, price, or specification mismatches before they become payment disputes — reducing the back-and-forth that currently delays accounts-payable approval.</w:t>
      </w:r>
    </w:p>
    <w:p>
      <w:pPr>
        <w:spacing w:after="100" w:before="200"/>
      </w:pPr>
      <w:r>
        <w:rPr>
          <w:b/>
          <w:bCs/>
          <w:color w:val="1F4E5F"/>
          <w:sz w:val="24"/>
          <w:szCs w:val="24"/>
        </w:rPr>
        <w:t xml:space="preserve">Module 4 — Vendor Trust &amp; Fraud Signal</w:t>
      </w:r>
    </w:p>
    <w:p>
      <w:pPr>
        <w:spacing w:after="160" w:line="276"/>
      </w:pPr>
      <w:r>
        <w:t xml:space="preserve">Tracks discrepancy and delay patterns per vendor across projects, flags duplicate billing or pricing that deviates from a vendor's own historical rates, and feeds a running reliability profile back into Module 1's bid rankings — creating a feedback loop that gets smarter with use rather than resetting on every project.</w:t>
      </w:r>
    </w:p>
    <w:p>
      <w:pPr>
        <w:pStyle w:val="Heading1"/>
        <w:spacing w:after="160" w:before="320"/>
      </w:pPr>
      <w:r>
        <w:rPr>
          <w:b/>
          <w:bCs/>
          <w:color w:val="1F4E5F"/>
        </w:rPr>
        <w:t xml:space="preserve">3. Track Alignment</w:t>
      </w:r>
    </w:p>
    <w:p>
      <w:pPr>
        <w:spacing w:after="160" w:line="276"/>
      </w:pPr>
      <w:r>
        <w:t xml:space="preserve">Track 3 defines its scope explicitly around contracts, purchase orders, invoices, bids, and vendor relationships. Procure360 is built directly around these five objects — not adjacent to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5F" w:val="clear"/>
            <w:tcMar>
              <w:top w:type="dxa" w:w="100"/>
              <w:left w:type="dxa" w:w="120"/>
              <w:bottom w:type="dxa" w:w="100"/>
              <w:right w:type="dxa" w:w="120"/>
            </w:tcMar>
          </w:tcPr>
          <w:p>
            <w:r>
              <w:rPr>
                <w:b/>
                <w:bCs/>
                <w:color w:val="FFFFFF"/>
                <w:sz w:val="20"/>
                <w:szCs w:val="20"/>
              </w:rPr>
              <w:t xml:space="preserve">Track 3 Object</w:t>
            </w:r>
          </w:p>
        </w:tc>
        <w:tc>
          <w:tcPr>
            <w:tcW w:type="dxa" w:w="4500"/>
            <w:shd w:fill="1F4E5F" w:val="clear"/>
            <w:tcMar>
              <w:top w:type="dxa" w:w="100"/>
              <w:left w:type="dxa" w:w="120"/>
              <w:bottom w:type="dxa" w:w="100"/>
              <w:right w:type="dxa" w:w="120"/>
            </w:tcMar>
          </w:tcPr>
          <w:p>
            <w:r>
              <w:rPr>
                <w:b/>
                <w:bCs/>
                <w:color w:val="FFFFFF"/>
                <w:sz w:val="20"/>
                <w:szCs w:val="20"/>
              </w:rPr>
              <w:t xml:space="preserve">Addressed By</w:t>
            </w:r>
          </w:p>
        </w:tc>
      </w:tr>
      <w:tr>
        <w:tc>
          <w:tcPr>
            <w:tcW w:type="dxa" w:w="4500"/>
            <w:tcMar>
              <w:top w:type="dxa" w:w="100"/>
              <w:left w:type="dxa" w:w="120"/>
              <w:bottom w:type="dxa" w:w="100"/>
              <w:right w:type="dxa" w:w="120"/>
            </w:tcMar>
          </w:tcPr>
          <w:p>
            <w:r>
              <w:rPr>
                <w:b w:val="false"/>
                <w:bCs w:val="false"/>
                <w:color w:val="000000"/>
                <w:sz w:val="20"/>
                <w:szCs w:val="20"/>
              </w:rPr>
              <w:t xml:space="preserve">Bids</w:t>
            </w:r>
          </w:p>
        </w:tc>
        <w:tc>
          <w:tcPr>
            <w:tcW w:type="dxa" w:w="4500"/>
            <w:tcMar>
              <w:top w:type="dxa" w:w="100"/>
              <w:left w:type="dxa" w:w="120"/>
              <w:bottom w:type="dxa" w:w="100"/>
              <w:right w:type="dxa" w:w="120"/>
            </w:tcMar>
          </w:tcPr>
          <w:p>
            <w:r>
              <w:rPr>
                <w:b w:val="false"/>
                <w:bCs w:val="false"/>
                <w:color w:val="000000"/>
                <w:sz w:val="20"/>
                <w:szCs w:val="20"/>
              </w:rPr>
              <w:t xml:space="preserve">Module 1</w:t>
            </w:r>
          </w:p>
        </w:tc>
      </w:tr>
      <w:tr>
        <w:tc>
          <w:tcPr>
            <w:tcW w:type="dxa" w:w="4500"/>
            <w:tcMar>
              <w:top w:type="dxa" w:w="100"/>
              <w:left w:type="dxa" w:w="120"/>
              <w:bottom w:type="dxa" w:w="100"/>
              <w:right w:type="dxa" w:w="120"/>
            </w:tcMar>
          </w:tcPr>
          <w:p>
            <w:r>
              <w:rPr>
                <w:b w:val="false"/>
                <w:bCs w:val="false"/>
                <w:color w:val="000000"/>
                <w:sz w:val="20"/>
                <w:szCs w:val="20"/>
              </w:rPr>
              <w:t xml:space="preserve">Contracts</w:t>
            </w:r>
          </w:p>
        </w:tc>
        <w:tc>
          <w:tcPr>
            <w:tcW w:type="dxa" w:w="4500"/>
            <w:tcMar>
              <w:top w:type="dxa" w:w="100"/>
              <w:left w:type="dxa" w:w="120"/>
              <w:bottom w:type="dxa" w:w="100"/>
              <w:right w:type="dxa" w:w="120"/>
            </w:tcMar>
          </w:tcPr>
          <w:p>
            <w:r>
              <w:rPr>
                <w:b w:val="false"/>
                <w:bCs w:val="false"/>
                <w:color w:val="000000"/>
                <w:sz w:val="20"/>
                <w:szCs w:val="20"/>
              </w:rPr>
              <w:t xml:space="preserve">Module 2</w:t>
            </w:r>
          </w:p>
        </w:tc>
      </w:tr>
      <w:tr>
        <w:tc>
          <w:tcPr>
            <w:tcW w:type="dxa" w:w="4500"/>
            <w:tcMar>
              <w:top w:type="dxa" w:w="100"/>
              <w:left w:type="dxa" w:w="120"/>
              <w:bottom w:type="dxa" w:w="100"/>
              <w:right w:type="dxa" w:w="120"/>
            </w:tcMar>
          </w:tcPr>
          <w:p>
            <w:r>
              <w:rPr>
                <w:b w:val="false"/>
                <w:bCs w:val="false"/>
                <w:color w:val="000000"/>
                <w:sz w:val="20"/>
                <w:szCs w:val="20"/>
              </w:rPr>
              <w:t xml:space="preserve">Purchase Orders</w:t>
            </w:r>
          </w:p>
        </w:tc>
        <w:tc>
          <w:tcPr>
            <w:tcW w:type="dxa" w:w="4500"/>
            <w:tcMar>
              <w:top w:type="dxa" w:w="100"/>
              <w:left w:type="dxa" w:w="120"/>
              <w:bottom w:type="dxa" w:w="100"/>
              <w:right w:type="dxa" w:w="120"/>
            </w:tcMar>
          </w:tcPr>
          <w:p>
            <w:r>
              <w:rPr>
                <w:b w:val="false"/>
                <w:bCs w:val="false"/>
                <w:color w:val="000000"/>
                <w:sz w:val="20"/>
                <w:szCs w:val="20"/>
              </w:rPr>
              <w:t xml:space="preserve">Module 3</w:t>
            </w:r>
          </w:p>
        </w:tc>
      </w:tr>
      <w:tr>
        <w:tc>
          <w:tcPr>
            <w:tcW w:type="dxa" w:w="4500"/>
            <w:tcMar>
              <w:top w:type="dxa" w:w="100"/>
              <w:left w:type="dxa" w:w="120"/>
              <w:bottom w:type="dxa" w:w="100"/>
              <w:right w:type="dxa" w:w="120"/>
            </w:tcMar>
          </w:tcPr>
          <w:p>
            <w:r>
              <w:rPr>
                <w:b w:val="false"/>
                <w:bCs w:val="false"/>
                <w:color w:val="000000"/>
                <w:sz w:val="20"/>
                <w:szCs w:val="20"/>
              </w:rPr>
              <w:t xml:space="preserve">Invoices</w:t>
            </w:r>
          </w:p>
        </w:tc>
        <w:tc>
          <w:tcPr>
            <w:tcW w:type="dxa" w:w="4500"/>
            <w:tcMar>
              <w:top w:type="dxa" w:w="100"/>
              <w:left w:type="dxa" w:w="120"/>
              <w:bottom w:type="dxa" w:w="100"/>
              <w:right w:type="dxa" w:w="120"/>
            </w:tcMar>
          </w:tcPr>
          <w:p>
            <w:r>
              <w:rPr>
                <w:b w:val="false"/>
                <w:bCs w:val="false"/>
                <w:color w:val="000000"/>
                <w:sz w:val="20"/>
                <w:szCs w:val="20"/>
              </w:rPr>
              <w:t xml:space="preserve">Module 3 &amp; 4</w:t>
            </w:r>
          </w:p>
        </w:tc>
      </w:tr>
      <w:tr>
        <w:tc>
          <w:tcPr>
            <w:tcW w:type="dxa" w:w="4500"/>
            <w:tcMar>
              <w:top w:type="dxa" w:w="100"/>
              <w:left w:type="dxa" w:w="120"/>
              <w:bottom w:type="dxa" w:w="100"/>
              <w:right w:type="dxa" w:w="120"/>
            </w:tcMar>
          </w:tcPr>
          <w:p>
            <w:r>
              <w:rPr>
                <w:b w:val="false"/>
                <w:bCs w:val="false"/>
                <w:color w:val="000000"/>
                <w:sz w:val="20"/>
                <w:szCs w:val="20"/>
              </w:rPr>
              <w:t xml:space="preserve">Vendor Relationships</w:t>
            </w:r>
          </w:p>
        </w:tc>
        <w:tc>
          <w:tcPr>
            <w:tcW w:type="dxa" w:w="4500"/>
            <w:tcMar>
              <w:top w:type="dxa" w:w="100"/>
              <w:left w:type="dxa" w:w="120"/>
              <w:bottom w:type="dxa" w:w="100"/>
              <w:right w:type="dxa" w:w="120"/>
            </w:tcMar>
          </w:tcPr>
          <w:p>
            <w:r>
              <w:rPr>
                <w:b w:val="false"/>
                <w:bCs w:val="false"/>
                <w:color w:val="000000"/>
                <w:sz w:val="20"/>
                <w:szCs w:val="20"/>
              </w:rPr>
              <w:t xml:space="preserve">Module 1 &amp; 4</w:t>
            </w:r>
          </w:p>
        </w:tc>
      </w:tr>
    </w:tbl>
    <w:p>
      <w:pPr>
        <w:pStyle w:val="Heading1"/>
        <w:spacing w:after="160" w:before="320"/>
      </w:pPr>
      <w:r>
        <w:rPr>
          <w:b/>
          <w:bCs/>
          <w:color w:val="1F4E5F"/>
        </w:rPr>
        <w:t xml:space="preserve">4. Reliability &amp; Accountability by Design</w:t>
      </w:r>
    </w:p>
    <w:p>
      <w:pPr>
        <w:spacing w:after="160" w:line="276"/>
      </w:pPr>
      <w:r>
        <w:t xml:space="preserve">An AI system that influences procurement decisions carries real financial and legal weight. “Accurate most of the time” is not sufficient — the system must be auditable when it is wrong, and a human must always remain the final decision-maker. We designed four accountability mechanisms directly into the architecture, informed by both global AI-governance standards and India's own public-procurement systems:</w:t>
      </w:r>
    </w:p>
    <w:p>
      <w:pPr>
        <w:pStyle w:val="ListParagraph"/>
        <w:numPr>
          <w:ilvl w:val="0"/>
          <w:numId w:val="2"/>
        </w:numPr>
        <w:spacing w:after="80" w:line="264"/>
      </w:pPr>
      <w:r>
        <w:t xml:space="preserve">Explainable flags, not black-box scores: every risk flag shows the exact clause or field that triggered it (e.g., “flagged: payment terms deviate from standard 30-day net”), mirroring the explainability principle at the core of the EU AI Act's high-risk AI requirements — a rationale a human can verify, not just a number to trust blindly.</w:t>
      </w:r>
    </w:p>
    <w:p>
      <w:pPr>
        <w:pStyle w:val="ListParagraph"/>
        <w:numPr>
          <w:ilvl w:val="0"/>
          <w:numId w:val="2"/>
        </w:numPr>
        <w:spacing w:after="80" w:line="264"/>
      </w:pPr>
      <w:r>
        <w:t xml:space="preserve">A dispute/override mechanism: users can mark any flag as incorrect. This mirrors the Government e-Marketplace (GeM) model, India's own national procurement platform, where disqualified bidders have a formal right to challenge a rejection and buyers cannot proceed without responding to that challenge.</w:t>
      </w:r>
    </w:p>
    <w:p>
      <w:pPr>
        <w:pStyle w:val="ListParagraph"/>
        <w:numPr>
          <w:ilvl w:val="0"/>
          <w:numId w:val="2"/>
        </w:numPr>
        <w:spacing w:after="80" w:line="264"/>
      </w:pPr>
      <w:r>
        <w:t xml:space="preserve">A complete audit log: every extraction and flag is timestamped and exportable, echoing GeM's own approach of maintaining an audit trail of all transactions so auditors can evaluate the data, filters, and criteria used at every step.</w:t>
      </w:r>
    </w:p>
    <w:p>
      <w:pPr>
        <w:pStyle w:val="ListParagraph"/>
        <w:numPr>
          <w:ilvl w:val="0"/>
          <w:numId w:val="2"/>
        </w:numPr>
        <w:spacing w:after="80" w:line="264"/>
      </w:pPr>
      <w:r>
        <w:t xml:space="preserve">Human-in-the-loop by design: Procure360 is positioned explicitly as a decision-support copilot, not an autonomous approver. Every recommendation requires human sign-off before it affects a live purchase order, contract, or payment.</w:t>
      </w:r>
    </w:p>
    <w:p>
      <w:pPr>
        <w:spacing w:after="160" w:line="276"/>
      </w:pPr>
      <w:r>
        <w:t xml:space="preserve">GeM itself has used machine learning for fraud and collusion detection since before the rise of generative AI, analyzing buyer/seller behavior patterns to catch anomalies at national scale. Procure360 brings this same proven accountability pattern — structured detection plus a formal, auditable challenge process — to the private construction sector, which today has no equivalent safeguard.</w:t>
      </w:r>
    </w:p>
    <w:p>
      <w:pPr>
        <w:pStyle w:val="Heading1"/>
        <w:spacing w:after="160" w:before="320"/>
      </w:pPr>
      <w:r>
        <w:rPr>
          <w:b/>
          <w:bCs/>
          <w:color w:val="1F4E5F"/>
        </w:rPr>
        <w:t xml:space="preserve">5. Competitive Landscape &amp; Differentiation</w:t>
      </w:r>
    </w:p>
    <w:p>
      <w:pPr>
        <w:spacing w:after="160" w:line="276"/>
      </w:pPr>
      <w:r>
        <w:t xml:space="preserve">India already has a dense construction-procurement ecosystem — including Infra.Market, OfBusiness, Kojo, and ZippMat — but these largely focus on materials sourcing, price discovery, and inventory optimization, not on the document-level intelligence of bids, contracts, and invoices. Internationally, a platform called Volve applies AI to bid comparison and document-heavy tender review, validating the demand for this category of tool. Procure360's differentiation is threefold:</w:t>
      </w:r>
    </w:p>
    <w:p>
      <w:pPr>
        <w:pStyle w:val="ListParagraph"/>
        <w:numPr>
          <w:ilvl w:val="0"/>
          <w:numId w:val="2"/>
        </w:numPr>
        <w:spacing w:after="80" w:line="264"/>
      </w:pPr>
      <w:r>
        <w:t xml:space="preserve">Full-lifecycle coverage: bid to contract to invoice to vendor trust, as one continuous, auditable pipeline rather than a single point solution.</w:t>
      </w:r>
    </w:p>
    <w:p>
      <w:pPr>
        <w:pStyle w:val="ListParagraph"/>
        <w:numPr>
          <w:ilvl w:val="0"/>
          <w:numId w:val="2"/>
        </w:numPr>
        <w:spacing w:after="80" w:line="264"/>
      </w:pPr>
      <w:r>
        <w:t xml:space="preserve">A vendor-trust feedback loop: reliability signals compound across projects and directly inform future bid rankings, rather than resetting with each new procurement cycle.</w:t>
      </w:r>
    </w:p>
    <w:p>
      <w:pPr>
        <w:pStyle w:val="ListParagraph"/>
        <w:numPr>
          <w:ilvl w:val="0"/>
          <w:numId w:val="2"/>
        </w:numPr>
        <w:spacing w:after="80" w:line="264"/>
      </w:pPr>
      <w:r>
        <w:t xml:space="preserve">Accountability designed for India's regulatory and cultural context: modeled explicitly on GeM's proven, publicly trusted challenge-and-audit mechanism, rather than an imported governance framework.</w:t>
      </w:r>
    </w:p>
    <w:p>
      <w:pPr>
        <w:spacing w:after="160" w:line="276"/>
      </w:pPr>
      <w:r>
        <w:t xml:space="preserve">We build Procure360 as complementary to, not competitive with, Kaya AI's own platform — Kaya's strength is post-award tracking and delivery visibility; Procure360 focuses upstream, on the sourcing, contracting, and reconciliation decisions that happen before and alongside that tracking. With Kaya AI platform access requested at registration, our long-term architecture is designed to plug directly into Kaya's data layer rather than duplicate it.</w:t>
      </w:r>
    </w:p>
    <w:p>
      <w:pPr>
        <w:pStyle w:val="Heading1"/>
        <w:spacing w:after="160" w:before="320"/>
      </w:pPr>
      <w:r>
        <w:rPr>
          <w:b/>
          <w:bCs/>
          <w:color w:val="1F4E5F"/>
        </w:rPr>
        <w:t xml:space="preserve">6. Impact &amp; Scalability</w:t>
      </w:r>
    </w:p>
    <w:p>
      <w:pPr>
        <w:pStyle w:val="ListParagraph"/>
        <w:numPr>
          <w:ilvl w:val="0"/>
          <w:numId w:val="2"/>
        </w:numPr>
        <w:spacing w:after="80" w:line="264"/>
      </w:pPr>
      <w:r>
        <w:t xml:space="preserve">Applicable to any construction firm regardless of project size — unlike enterprise platforms that have so far focused on mission-critical, large-scale infrastructure projects, leaving small and mid-size contractors underserved.</w:t>
      </w:r>
    </w:p>
    <w:p>
      <w:pPr>
        <w:pStyle w:val="ListParagraph"/>
        <w:numPr>
          <w:ilvl w:val="0"/>
          <w:numId w:val="2"/>
        </w:numPr>
        <w:spacing w:after="80" w:line="264"/>
      </w:pPr>
      <w:r>
        <w:t xml:space="preserve">Directly reduces two well-documented cost drivers: manual, gut-feel comparison decisions and late-caught contract or invoice discrepancies.</w:t>
      </w:r>
    </w:p>
    <w:p>
      <w:pPr>
        <w:pStyle w:val="ListParagraph"/>
        <w:numPr>
          <w:ilvl w:val="0"/>
          <w:numId w:val="2"/>
        </w:numPr>
        <w:spacing w:after="80" w:line="264"/>
      </w:pPr>
      <w:r>
        <w:t xml:space="preserve">The vendor-trust layer compounds in value over time and across projects, unlike single-use comparison tools.</w:t>
      </w:r>
    </w:p>
    <w:p>
      <w:pPr>
        <w:pStyle w:val="ListParagraph"/>
        <w:numPr>
          <w:ilvl w:val="0"/>
          <w:numId w:val="2"/>
        </w:numPr>
        <w:spacing w:after="80" w:line="264"/>
      </w:pPr>
      <w:r>
        <w:t xml:space="preserve">Designed to scale toward eventual integration with GeM's own procurement data as a long-term public-sector extension, alongside private-sector use.</w:t>
      </w:r>
    </w:p>
    <w:p>
      <w:pPr>
        <w:pStyle w:val="Heading1"/>
        <w:spacing w:after="160" w:before="320"/>
      </w:pPr>
      <w:r>
        <w:rPr>
          <w:b/>
          <w:bCs/>
          <w:color w:val="1F4E5F"/>
        </w:rPr>
        <w:t xml:space="preserve">7. Stage 1 Scope &amp; Roadmap</w:t>
      </w:r>
    </w:p>
    <w:p>
      <w:pPr>
        <w:spacing w:after="160" w:line="276"/>
      </w:pPr>
      <w:r>
        <w:t xml:space="preserve">Given the compressed hackathon timeline, Stage 1 will demonstrate Module 1 (Bid Comparison &amp; Price-Hold Risk) and Module 2 (Contract Risk Scanner) as working, end-to-end prototypes using a combination of synthetic sample bids and publicly available GeM tender documents as realistic reference data. Modules 3 and 4 are presented as a fully specified architecture and UI mockup, to be built out in subsequent stages. Live integration with GeM's ERP/API layer and Kaya AI's platform is scoped as a formal post-hackathon step requiring institutional onboarding, not claimed as delivered in Stage 1.</w:t>
      </w:r>
    </w:p>
    <w:p>
      <w:pPr>
        <w:spacing w:before="3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2026-07-07T20:58:11.561Z</dcterms:created>
  <dcterms:modified xsi:type="dcterms:W3CDTF">2026-07-07T20:58:11.561Z</dcterms:modified>
</cp:coreProperties>
</file>

<file path=docProps/custom.xml><?xml version="1.0" encoding="utf-8"?>
<Properties xmlns="http://schemas.openxmlformats.org/officeDocument/2006/custom-properties" xmlns:vt="http://schemas.openxmlformats.org/officeDocument/2006/docPropsVTypes"/>
</file>