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773A6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843" w:type="dxa"/>
            <w:vAlign w:val="top"/>
          </w:tcPr>
          <w:p w14:paraId="00000005">
            <w:pPr>
              <w:spacing w:after="0" w:line="240" w:lineRule="auto"/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- June-2025</w:t>
            </w:r>
          </w:p>
        </w:tc>
      </w:tr>
      <w:tr w14:paraId="41EC9F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843" w:type="dxa"/>
            <w:vAlign w:val="top"/>
          </w:tcPr>
          <w:p w14:paraId="00000007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LTVIP2025TMID30749</w:t>
            </w:r>
          </w:p>
        </w:tc>
      </w:tr>
      <w:tr w14:paraId="0B8DDF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843" w:type="dxa"/>
            <w:vAlign w:val="top"/>
          </w:tcPr>
          <w:p w14:paraId="00000009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HealthAI: Intelligent Healthcare Assistant Using IBM Granite</w:t>
            </w:r>
          </w:p>
        </w:tc>
      </w:tr>
      <w:tr w14:paraId="65181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2EC9D8A5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1048559B">
      <w:pPr>
        <w:rPr>
          <w:rtl w:val="0"/>
        </w:rPr>
      </w:pPr>
      <w:r>
        <w:rPr>
          <w:rtl w:val="0"/>
        </w:rPr>
        <w:t>Following are the functional requirements of the proposed solution.</w:t>
      </w:r>
      <w:r>
        <w:rPr>
          <w:rtl w:val="0"/>
        </w:rP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2295"/>
        <w:gridCol w:w="6242"/>
      </w:tblGrid>
      <w:tr w14:paraId="5A4D7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4959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FR No.</w:t>
            </w:r>
          </w:p>
        </w:tc>
        <w:tc>
          <w:tcPr>
            <w:tcW w:w="0" w:type="auto"/>
            <w:shd w:val="clear"/>
            <w:vAlign w:val="center"/>
          </w:tcPr>
          <w:p w14:paraId="6C2C0E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563B91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Sub Requirement (Story / Sub-Task)</w:t>
            </w:r>
          </w:p>
        </w:tc>
      </w:tr>
      <w:tr w14:paraId="3347C8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D2A4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FR-1</w:t>
            </w:r>
          </w:p>
        </w:tc>
        <w:tc>
          <w:tcPr>
            <w:tcW w:w="0" w:type="auto"/>
            <w:shd w:val="clear"/>
            <w:vAlign w:val="center"/>
          </w:tcPr>
          <w:p w14:paraId="2B4DF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User Registration</w:t>
            </w:r>
          </w:p>
        </w:tc>
        <w:tc>
          <w:tcPr>
            <w:tcW w:w="0" w:type="auto"/>
            <w:shd w:val="clear"/>
            <w:vAlign w:val="center"/>
          </w:tcPr>
          <w:p w14:paraId="51607C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Registration through Form Registration via Gmail Registration via LinkedIn</w:t>
            </w:r>
          </w:p>
        </w:tc>
      </w:tr>
      <w:tr w14:paraId="4A154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9F0A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FR-2</w:t>
            </w:r>
          </w:p>
        </w:tc>
        <w:tc>
          <w:tcPr>
            <w:tcW w:w="0" w:type="auto"/>
            <w:shd w:val="clear"/>
            <w:vAlign w:val="center"/>
          </w:tcPr>
          <w:p w14:paraId="65F5BD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User Confirmation</w:t>
            </w:r>
          </w:p>
        </w:tc>
        <w:tc>
          <w:tcPr>
            <w:tcW w:w="0" w:type="auto"/>
            <w:shd w:val="clear"/>
            <w:vAlign w:val="center"/>
          </w:tcPr>
          <w:p w14:paraId="422A1C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Confirmation via Email Confirmation via OTP</w:t>
            </w:r>
          </w:p>
        </w:tc>
      </w:tr>
      <w:tr w14:paraId="7CD79B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FF31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FR-3</w:t>
            </w:r>
          </w:p>
        </w:tc>
        <w:tc>
          <w:tcPr>
            <w:tcW w:w="0" w:type="auto"/>
            <w:shd w:val="clear"/>
            <w:vAlign w:val="center"/>
          </w:tcPr>
          <w:p w14:paraId="6EAD5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Patient Chat</w:t>
            </w:r>
          </w:p>
        </w:tc>
        <w:tc>
          <w:tcPr>
            <w:tcW w:w="0" w:type="auto"/>
            <w:shd w:val="clear"/>
            <w:vAlign w:val="center"/>
          </w:tcPr>
          <w:p w14:paraId="667DBB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Input health questions Get response from IBM Granite LLM Display chat history</w:t>
            </w:r>
          </w:p>
        </w:tc>
      </w:tr>
      <w:tr w14:paraId="4C09E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76A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FR-4</w:t>
            </w:r>
          </w:p>
        </w:tc>
        <w:tc>
          <w:tcPr>
            <w:tcW w:w="0" w:type="auto"/>
            <w:shd w:val="clear"/>
            <w:vAlign w:val="center"/>
          </w:tcPr>
          <w:p w14:paraId="3732BB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Disease Prediction</w:t>
            </w:r>
          </w:p>
        </w:tc>
        <w:tc>
          <w:tcPr>
            <w:tcW w:w="0" w:type="auto"/>
            <w:shd w:val="clear"/>
            <w:vAlign w:val="center"/>
          </w:tcPr>
          <w:p w14:paraId="33AEAF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Enter symptoms Predict conditions Show likelihood and next steps</w:t>
            </w:r>
          </w:p>
        </w:tc>
      </w:tr>
      <w:tr w14:paraId="7AFFA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9439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FR-5</w:t>
            </w:r>
          </w:p>
        </w:tc>
        <w:tc>
          <w:tcPr>
            <w:tcW w:w="0" w:type="auto"/>
            <w:shd w:val="clear"/>
            <w:vAlign w:val="center"/>
          </w:tcPr>
          <w:p w14:paraId="2782D8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Treatment Plan Generation</w:t>
            </w:r>
          </w:p>
        </w:tc>
        <w:tc>
          <w:tcPr>
            <w:tcW w:w="0" w:type="auto"/>
            <w:shd w:val="clear"/>
            <w:vAlign w:val="center"/>
          </w:tcPr>
          <w:p w14:paraId="1E19BF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Input diagnosed condition Generate treatment plan Include medications and lifestyle suggestions</w:t>
            </w:r>
          </w:p>
        </w:tc>
      </w:tr>
      <w:tr w14:paraId="5D697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EEC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FR-6</w:t>
            </w:r>
          </w:p>
        </w:tc>
        <w:tc>
          <w:tcPr>
            <w:tcW w:w="0" w:type="auto"/>
            <w:shd w:val="clear"/>
            <w:vAlign w:val="center"/>
          </w:tcPr>
          <w:p w14:paraId="30FFE6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Health Analytics Dashboard</w:t>
            </w:r>
          </w:p>
        </w:tc>
        <w:tc>
          <w:tcPr>
            <w:tcW w:w="0" w:type="auto"/>
            <w:shd w:val="clear"/>
            <w:vAlign w:val="center"/>
          </w:tcPr>
          <w:p w14:paraId="014334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Visualize health metrics Generate AI-based insights View trends over time</w:t>
            </w:r>
          </w:p>
        </w:tc>
      </w:tr>
      <w:tr w14:paraId="62227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40A2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FR-7</w:t>
            </w:r>
          </w:p>
        </w:tc>
        <w:tc>
          <w:tcPr>
            <w:tcW w:w="0" w:type="auto"/>
            <w:shd w:val="clear"/>
            <w:vAlign w:val="center"/>
          </w:tcPr>
          <w:p w14:paraId="1FB6DC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Patient Profile Management</w:t>
            </w:r>
          </w:p>
        </w:tc>
        <w:tc>
          <w:tcPr>
            <w:tcW w:w="0" w:type="auto"/>
            <w:shd w:val="clear"/>
            <w:vAlign w:val="center"/>
          </w:tcPr>
          <w:p w14:paraId="2CAF93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Edit profile info Save vitals and metrics Session state handling</w:t>
            </w:r>
          </w:p>
        </w:tc>
      </w:tr>
      <w:tr w14:paraId="5F024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E40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FR-8</w:t>
            </w:r>
          </w:p>
        </w:tc>
        <w:tc>
          <w:tcPr>
            <w:tcW w:w="0" w:type="auto"/>
            <w:shd w:val="clear"/>
            <w:vAlign w:val="center"/>
          </w:tcPr>
          <w:p w14:paraId="17319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AI Prompt Engine</w:t>
            </w:r>
          </w:p>
        </w:tc>
        <w:tc>
          <w:tcPr>
            <w:tcW w:w="0" w:type="auto"/>
            <w:shd w:val="clear"/>
            <w:vAlign w:val="center"/>
          </w:tcPr>
          <w:p w14:paraId="44D7D5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Custom prompts for chat, disease, treatment modules Format responses for clarity</w:t>
            </w:r>
          </w:p>
        </w:tc>
      </w:tr>
      <w:tr w14:paraId="78230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9ABA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FR-9</w:t>
            </w:r>
          </w:p>
        </w:tc>
        <w:tc>
          <w:tcPr>
            <w:tcW w:w="0" w:type="auto"/>
            <w:shd w:val="clear"/>
            <w:vAlign w:val="center"/>
          </w:tcPr>
          <w:p w14:paraId="54C64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Secure API Key Handling</w:t>
            </w:r>
          </w:p>
        </w:tc>
        <w:tc>
          <w:tcPr>
            <w:tcW w:w="0" w:type="auto"/>
            <w:shd w:val="clear"/>
            <w:vAlign w:val="center"/>
          </w:tcPr>
          <w:p w14:paraId="780E24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Environment-based API key loading Hide sensitive data in code</w:t>
            </w:r>
          </w:p>
        </w:tc>
      </w:tr>
    </w:tbl>
    <w:p w14:paraId="00000028">
      <w:pPr>
        <w:rPr>
          <w:rFonts w:hint="default" w:ascii="Calibri" w:hAnsi="Calibri" w:cs="Calibri"/>
          <w:b/>
          <w:sz w:val="22"/>
          <w:szCs w:val="22"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  <w:r>
        <w:rPr>
          <w:rtl w:val="0"/>
        </w:rPr>
        <w:br w:type="textWrapping"/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24B68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  <w:vAlign w:val="center"/>
          </w:tcPr>
          <w:p w14:paraId="000000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bookmarkStart w:id="0" w:name="_GoBack"/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NFR No.</w:t>
            </w:r>
          </w:p>
        </w:tc>
        <w:tc>
          <w:tcPr>
            <w:tcW w:w="3464" w:type="dxa"/>
            <w:vAlign w:val="center"/>
          </w:tcPr>
          <w:p w14:paraId="000000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Non-Functional Requirement</w:t>
            </w:r>
          </w:p>
        </w:tc>
        <w:tc>
          <w:tcPr>
            <w:tcW w:w="4934" w:type="dxa"/>
            <w:vAlign w:val="center"/>
          </w:tcPr>
          <w:p w14:paraId="000000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 w14:paraId="6AA596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000000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NFR-1</w:t>
            </w:r>
          </w:p>
        </w:tc>
        <w:tc>
          <w:tcPr>
            <w:tcW w:w="3464" w:type="dxa"/>
            <w:vAlign w:val="center"/>
          </w:tcPr>
          <w:p w14:paraId="000000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Usability</w:t>
            </w:r>
          </w:p>
        </w:tc>
        <w:tc>
          <w:tcPr>
            <w:tcW w:w="4934" w:type="dxa"/>
            <w:vAlign w:val="center"/>
          </w:tcPr>
          <w:p w14:paraId="00000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Streamlit interface with intuitive layout and accessible navigation</w:t>
            </w:r>
          </w:p>
        </w:tc>
      </w:tr>
      <w:tr w14:paraId="17853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00000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NFR-2</w:t>
            </w:r>
          </w:p>
        </w:tc>
        <w:tc>
          <w:tcPr>
            <w:tcW w:w="3464" w:type="dxa"/>
            <w:vAlign w:val="center"/>
          </w:tcPr>
          <w:p w14:paraId="000000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Security</w:t>
            </w:r>
          </w:p>
        </w:tc>
        <w:tc>
          <w:tcPr>
            <w:tcW w:w="4934" w:type="dxa"/>
            <w:vAlign w:val="center"/>
          </w:tcPr>
          <w:p w14:paraId="000000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API key security via .env No health data exposed to third parties</w:t>
            </w:r>
          </w:p>
        </w:tc>
      </w:tr>
      <w:tr w14:paraId="4FF902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  <w:vAlign w:val="center"/>
          </w:tcPr>
          <w:p w14:paraId="00000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NFR-3</w:t>
            </w:r>
          </w:p>
        </w:tc>
        <w:tc>
          <w:tcPr>
            <w:tcW w:w="3464" w:type="dxa"/>
            <w:vAlign w:val="center"/>
          </w:tcPr>
          <w:p w14:paraId="00000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Reliability</w:t>
            </w:r>
          </w:p>
        </w:tc>
        <w:tc>
          <w:tcPr>
            <w:tcW w:w="4934" w:type="dxa"/>
            <w:vAlign w:val="center"/>
          </w:tcPr>
          <w:p w14:paraId="000000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Prompt fallback and user alerts when IBM Granite model is slow/unavailable</w:t>
            </w:r>
          </w:p>
        </w:tc>
      </w:tr>
      <w:tr w14:paraId="1EE2F4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000000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NFR-4</w:t>
            </w:r>
          </w:p>
        </w:tc>
        <w:tc>
          <w:tcPr>
            <w:tcW w:w="3464" w:type="dxa"/>
            <w:vAlign w:val="center"/>
          </w:tcPr>
          <w:p w14:paraId="000000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Performance</w:t>
            </w:r>
          </w:p>
        </w:tc>
        <w:tc>
          <w:tcPr>
            <w:tcW w:w="4934" w:type="dxa"/>
            <w:vAlign w:val="center"/>
          </w:tcPr>
          <w:p w14:paraId="000000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Efficient loading of dashboards and minimal response latency from backend</w:t>
            </w:r>
          </w:p>
        </w:tc>
      </w:tr>
      <w:tr w14:paraId="37F4A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000000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NFR-5</w:t>
            </w:r>
          </w:p>
        </w:tc>
        <w:tc>
          <w:tcPr>
            <w:tcW w:w="3464" w:type="dxa"/>
            <w:vAlign w:val="center"/>
          </w:tcPr>
          <w:p w14:paraId="000000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Availability</w:t>
            </w:r>
          </w:p>
        </w:tc>
        <w:tc>
          <w:tcPr>
            <w:tcW w:w="4934" w:type="dxa"/>
            <w:vAlign w:val="center"/>
          </w:tcPr>
          <w:p w14:paraId="000000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Always-on local deployment or cloud-based availability</w:t>
            </w:r>
          </w:p>
        </w:tc>
      </w:tr>
      <w:tr w14:paraId="04FFB4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000000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NFR-6</w:t>
            </w:r>
          </w:p>
        </w:tc>
        <w:tc>
          <w:tcPr>
            <w:tcW w:w="3464" w:type="dxa"/>
            <w:vAlign w:val="center"/>
          </w:tcPr>
          <w:p w14:paraId="000000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Scalability</w:t>
            </w:r>
          </w:p>
        </w:tc>
        <w:tc>
          <w:tcPr>
            <w:tcW w:w="4934" w:type="dxa"/>
            <w:vAlign w:val="center"/>
          </w:tcPr>
          <w:p w14:paraId="000000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Expandable to include nutrition, mental health modules, and wearable integration</w:t>
            </w:r>
          </w:p>
        </w:tc>
      </w:tr>
      <w:bookmarkEnd w:id="0"/>
    </w:tbl>
    <w:p w14:paraId="519EFC7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A9F6E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mgane</cp:lastModifiedBy>
  <dcterms:modified xsi:type="dcterms:W3CDTF">2025-06-30T09:20:04Z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D43578A458DA4A898494C6285CC76DDE_13</vt:lpwstr>
  </property>
</Properties>
</file>