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דגשים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להעברת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הפרויקט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ind w:left="960" w:hanging="360"/>
      </w:pP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מודולרי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שיטות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לתכנון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פרוצדורלי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גישת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top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down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סעיף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התפריט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הפונקציונאליות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סעיף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ובדיקתו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שחוזרות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לבודד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</w:t>
      </w:r>
      <w:r w:rsidDel="00000000" w:rsidR="00000000" w:rsidRPr="00000000">
        <w:rPr>
          <w:sz w:val="24"/>
          <w:szCs w:val="24"/>
          <w:rtl w:val="1"/>
        </w:rPr>
        <w:t xml:space="preserve"> )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גישת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bottom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up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הפשוטות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גישה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היברידית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ומקובלת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רפרנסים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https://www.tomercode.com/2019/09/top-down-programming.html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https://adacomputerscience.org/concepts/procprog_paradigm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https://essensys.ro/2024/03/12/bottom-up-design-explained/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Single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Responsibility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Principle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Low coupling and high cohesion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60" w:lineRule="auto"/>
        <w:ind w:left="960" w:hanging="360"/>
      </w:pP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beforeAutospacing="0" w:lineRule="auto"/>
        <w:ind w:left="1920" w:hanging="360"/>
      </w:pPr>
      <w:r w:rsidDel="00000000" w:rsidR="00000000" w:rsidRPr="00000000">
        <w:rPr>
          <w:sz w:val="24"/>
          <w:szCs w:val="24"/>
          <w:rtl w:val="1"/>
        </w:rPr>
        <w:t xml:space="preserve">דיבגר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120" w:lineRule="auto"/>
        <w:ind w:left="144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https://learn.microsoft.com/en-us/visualstudio/debugger/debugger-feature-tour?view=vs-2022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120" w:lineRule="auto"/>
        <w:ind w:left="1920" w:hanging="360"/>
      </w:pPr>
      <w:r w:rsidDel="00000000" w:rsidR="00000000" w:rsidRPr="00000000">
        <w:rPr>
          <w:sz w:val="24"/>
          <w:szCs w:val="24"/>
          <w:rtl w:val="1"/>
        </w:rPr>
        <w:t xml:space="preserve">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בהגדרות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144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https://dotnettutorials.net/lesson/command-line-arguments-in-csharp/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60" w:lineRule="auto"/>
        <w:ind w:left="960" w:hanging="360"/>
      </w:pPr>
      <w:r w:rsidDel="00000000" w:rsidR="00000000" w:rsidRPr="00000000">
        <w:rPr>
          <w:sz w:val="24"/>
          <w:szCs w:val="24"/>
          <w:rtl w:val="1"/>
        </w:rPr>
        <w:t xml:space="preserve">סגנון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כתיבה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תעוד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ומוסכמות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4"/>
          <w:szCs w:val="24"/>
          <w:rtl w:val="1"/>
        </w:rPr>
        <w:t xml:space="preserve">סיוע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4"/>
          <w:szCs w:val="24"/>
          <w:rtl w:val="1"/>
        </w:rPr>
        <w:t xml:space="preserve">דגשים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גיטהאב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קומיט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0" w:beforeAutospacing="0" w:lineRule="auto"/>
        <w:ind w:left="960" w:hanging="360"/>
      </w:pP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בנפרד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צאט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מקלות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יעדים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ופרמטרים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</w:t>
      </w:r>
    </w:p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holders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שיבואו</w:t>
      </w:r>
      <w:r w:rsidDel="00000000" w:rsidR="00000000" w:rsidRPr="00000000">
        <w:rPr>
          <w:rtl w:val="1"/>
        </w:rPr>
        <w:t xml:space="preserve">)  </w:t>
      </w:r>
    </w:p>
    <w:p w:rsidR="00000000" w:rsidDel="00000000" w:rsidP="00000000" w:rsidRDefault="00000000" w:rsidRPr="00000000" w14:paraId="0000002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tnettutorials.net/lesson/command-line-arguments-in-csharp/" TargetMode="External"/><Relationship Id="rId10" Type="http://schemas.openxmlformats.org/officeDocument/2006/relationships/hyperlink" Target="https://learn.microsoft.com/en-us/visualstudio/debugger/debugger-feature-tour?view=vs-2022" TargetMode="External"/><Relationship Id="rId9" Type="http://schemas.openxmlformats.org/officeDocument/2006/relationships/hyperlink" Target="https://www.geeksforgeeks.org/software-engineering-coupling-and-cohes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mercode.com/2019/09/top-down-programming.html" TargetMode="External"/><Relationship Id="rId7" Type="http://schemas.openxmlformats.org/officeDocument/2006/relationships/hyperlink" Target="https://adacomputerscience.org/concepts/procprog_paradigm#:~:text=The%20procedural%20programming%20paradigm%20encourages,task%20that%20can%20be%20solved" TargetMode="External"/><Relationship Id="rId8" Type="http://schemas.openxmlformats.org/officeDocument/2006/relationships/hyperlink" Target="https://essensys.ro/2024/03/12/bottom-up-design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