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126D4" w:rsidRPr="005B5C36" w:rsidRDefault="00A126D4" w:rsidP="00262A7F">
      <w:pPr>
        <w:pStyle w:val="EndNoteBibliography"/>
        <w:spacing w:before="100" w:beforeAutospacing="1" w:line="360" w:lineRule="auto"/>
        <w:rPr>
          <w:rFonts w:ascii="Arial" w:hAnsi="Arial" w:cs="Arial"/>
          <w:b/>
          <w:bCs/>
        </w:rPr>
      </w:pPr>
      <w:bookmarkStart w:id="0" w:name="_GoBack"/>
      <w:bookmarkEnd w:id="0"/>
      <w:r w:rsidRPr="005B5C36">
        <w:rPr>
          <w:rFonts w:ascii="Arial" w:hAnsi="Arial" w:cs="Arial"/>
          <w:b/>
          <w:bCs/>
        </w:rPr>
        <w:t>Carry</w:t>
      </w:r>
      <w:r>
        <w:rPr>
          <w:rFonts w:ascii="Arial" w:hAnsi="Arial" w:cs="Arial"/>
          <w:b/>
          <w:bCs/>
        </w:rPr>
        <w:t>ing</w:t>
      </w:r>
      <w:r w:rsidRPr="005B5C36">
        <w:rPr>
          <w:rFonts w:ascii="Arial" w:hAnsi="Arial" w:cs="Arial"/>
          <w:b/>
          <w:bCs/>
        </w:rPr>
        <w:t xml:space="preserve"> out data wrangling and analysis in SQL to uncover insights in underutilized data.</w:t>
      </w:r>
    </w:p>
    <w:p w:rsidR="00A126D4" w:rsidRPr="007679FB" w:rsidRDefault="00A126D4" w:rsidP="00262A7F">
      <w:pPr>
        <w:pStyle w:val="EndNoteBibliography"/>
        <w:spacing w:before="100" w:beforeAutospacing="1" w:line="360" w:lineRule="auto"/>
        <w:rPr>
          <w:rFonts w:ascii="Arial" w:hAnsi="Arial" w:cs="Arial"/>
          <w:b/>
          <w:bCs/>
          <w:lang w:val="en-GB"/>
        </w:rPr>
      </w:pPr>
      <w:r w:rsidRPr="007679FB">
        <w:rPr>
          <w:rFonts w:ascii="Arial" w:hAnsi="Arial" w:cs="Arial"/>
          <w:b/>
          <w:bCs/>
          <w:lang w:val="en-GB"/>
        </w:rPr>
        <w:t>Introduction</w:t>
      </w:r>
    </w:p>
    <w:p w:rsidR="00A126D4" w:rsidRPr="007679FB" w:rsidRDefault="00A126D4" w:rsidP="00262A7F">
      <w:pPr>
        <w:pStyle w:val="EndNoteBibliography"/>
        <w:spacing w:before="100" w:beforeAutospacing="1" w:line="360" w:lineRule="auto"/>
        <w:rPr>
          <w:rFonts w:ascii="Arial" w:hAnsi="Arial" w:cs="Arial"/>
          <w:lang w:val="en-GB"/>
        </w:rPr>
      </w:pPr>
      <w:r w:rsidRPr="007679FB">
        <w:rPr>
          <w:rFonts w:ascii="Arial" w:hAnsi="Arial" w:cs="Arial"/>
          <w:lang w:val="en-GB"/>
        </w:rPr>
        <w:t>For this task, we performed data wrangling and analysis in SQL using the </w:t>
      </w:r>
      <w:hyperlink r:id="rId5" w:history="1">
        <w:r w:rsidRPr="007679FB">
          <w:rPr>
            <w:rStyle w:val="Hyperlink"/>
            <w:rFonts w:ascii="Arial" w:hAnsi="Arial" w:cs="Arial"/>
            <w:lang w:val="en-GB"/>
          </w:rPr>
          <w:t>Telco Customer Churn dataset</w:t>
        </w:r>
      </w:hyperlink>
      <w:r w:rsidRPr="007679FB">
        <w:rPr>
          <w:rFonts w:ascii="Arial" w:hAnsi="Arial" w:cs="Arial"/>
          <w:lang w:val="en-GB"/>
        </w:rPr>
        <w:t> obtained from Kaggle. The objective was to explore and uncover business insights from potentially underutilized customer data, focusing on patterns that may influence churn. The entire process was executed using MySQL Workbench as the database interface.</w:t>
      </w:r>
    </w:p>
    <w:p w:rsidR="00A126D4" w:rsidRPr="007679FB" w:rsidRDefault="00A126D4" w:rsidP="00262A7F">
      <w:pPr>
        <w:pStyle w:val="EndNoteBibliography"/>
        <w:spacing w:before="100" w:beforeAutospacing="1" w:line="360" w:lineRule="auto"/>
        <w:rPr>
          <w:rFonts w:ascii="Arial" w:hAnsi="Arial" w:cs="Arial"/>
          <w:b/>
          <w:bCs/>
          <w:lang w:val="en-GB"/>
        </w:rPr>
      </w:pPr>
      <w:r w:rsidRPr="007679FB">
        <w:rPr>
          <w:rFonts w:ascii="Arial" w:hAnsi="Arial" w:cs="Arial"/>
          <w:b/>
          <w:bCs/>
          <w:lang w:val="en-GB"/>
        </w:rPr>
        <w:t>Step 1: Data Import and Preparation</w:t>
      </w:r>
    </w:p>
    <w:p w:rsidR="00A126D4" w:rsidRPr="007679FB" w:rsidRDefault="00A126D4" w:rsidP="00262A7F">
      <w:pPr>
        <w:pStyle w:val="EndNoteBibliography"/>
        <w:spacing w:before="100" w:beforeAutospacing="1" w:line="360" w:lineRule="auto"/>
        <w:rPr>
          <w:rFonts w:ascii="Arial" w:hAnsi="Arial" w:cs="Arial"/>
          <w:lang w:val="en-GB"/>
        </w:rPr>
      </w:pPr>
      <w:r w:rsidRPr="007679FB">
        <w:rPr>
          <w:rFonts w:ascii="Arial" w:hAnsi="Arial" w:cs="Arial"/>
          <w:lang w:val="en-GB"/>
        </w:rPr>
        <w:t>We began by creating a new database called telco</w:t>
      </w:r>
      <w:r>
        <w:rPr>
          <w:rFonts w:ascii="Arial" w:hAnsi="Arial" w:cs="Arial"/>
          <w:lang w:val="en-GB"/>
        </w:rPr>
        <w:t>2</w:t>
      </w:r>
      <w:r w:rsidRPr="007679FB">
        <w:rPr>
          <w:rFonts w:ascii="Arial" w:hAnsi="Arial" w:cs="Arial"/>
          <w:lang w:val="en-GB"/>
        </w:rPr>
        <w:t>_db and defined a table </w:t>
      </w:r>
      <w:proofErr w:type="spellStart"/>
      <w:r>
        <w:rPr>
          <w:rFonts w:ascii="Arial" w:hAnsi="Arial" w:cs="Arial"/>
          <w:lang w:val="en-GB"/>
        </w:rPr>
        <w:t>customer</w:t>
      </w:r>
      <w:r w:rsidRPr="007679FB">
        <w:rPr>
          <w:rFonts w:ascii="Arial" w:hAnsi="Arial" w:cs="Arial"/>
          <w:lang w:val="en-GB"/>
        </w:rPr>
        <w:t>_churn</w:t>
      </w:r>
      <w:proofErr w:type="spellEnd"/>
      <w:r w:rsidRPr="007679FB">
        <w:rPr>
          <w:rFonts w:ascii="Arial" w:hAnsi="Arial" w:cs="Arial"/>
          <w:lang w:val="en-GB"/>
        </w:rPr>
        <w:t xml:space="preserve"> using SQL DDL (Data Definition Language). </w:t>
      </w:r>
      <w:r w:rsidRPr="005B5C36">
        <w:rPr>
          <w:rFonts w:ascii="Arial" w:hAnsi="Arial" w:cs="Arial"/>
          <w:lang w:val="en-GB"/>
        </w:rPr>
        <w:t xml:space="preserve"> </w:t>
      </w:r>
      <w:r w:rsidRPr="007679FB">
        <w:rPr>
          <w:rFonts w:ascii="Arial" w:hAnsi="Arial" w:cs="Arial"/>
          <w:lang w:val="en-GB"/>
        </w:rPr>
        <w:t>We then imported the CSV file into this table using MySQL Workbench’s Table Data Import Wizar</w:t>
      </w:r>
      <w:r w:rsidRPr="005B5C36">
        <w:rPr>
          <w:rFonts w:ascii="Arial" w:hAnsi="Arial" w:cs="Arial"/>
          <w:lang w:val="en-GB"/>
        </w:rPr>
        <w:t>d.</w:t>
      </w:r>
    </w:p>
    <w:p w:rsidR="00A126D4" w:rsidRPr="007679FB" w:rsidRDefault="00A126D4" w:rsidP="00262A7F">
      <w:pPr>
        <w:pStyle w:val="EndNoteBibliography"/>
        <w:spacing w:before="100" w:beforeAutospacing="1" w:line="360" w:lineRule="auto"/>
        <w:rPr>
          <w:rFonts w:ascii="Arial" w:hAnsi="Arial" w:cs="Arial"/>
          <w:b/>
          <w:bCs/>
          <w:lang w:val="en-GB"/>
        </w:rPr>
      </w:pPr>
      <w:r w:rsidRPr="007679FB">
        <w:rPr>
          <w:rFonts w:ascii="Arial" w:hAnsi="Arial" w:cs="Arial"/>
          <w:b/>
          <w:bCs/>
          <w:lang w:val="en-GB"/>
        </w:rPr>
        <w:t>Step 2: Data Wrangling and Analysis</w:t>
      </w:r>
    </w:p>
    <w:p w:rsidR="00A126D4" w:rsidRPr="00A126D4" w:rsidRDefault="00A126D4" w:rsidP="00262A7F">
      <w:pPr>
        <w:pStyle w:val="EndNoteBibliography"/>
        <w:spacing w:before="100" w:beforeAutospacing="1" w:line="360" w:lineRule="auto"/>
        <w:rPr>
          <w:rFonts w:ascii="Arial" w:hAnsi="Arial" w:cs="Arial"/>
          <w:lang w:val="en-GB"/>
        </w:rPr>
      </w:pPr>
      <w:r w:rsidRPr="007679FB">
        <w:rPr>
          <w:rFonts w:ascii="Arial" w:hAnsi="Arial" w:cs="Arial"/>
          <w:lang w:val="en-GB"/>
        </w:rPr>
        <w:t>To gain insights from the data, we wrote several SQL queries involving grouping, aggregation, ordering, and filtering. Below are key findings</w:t>
      </w:r>
      <w:r w:rsidRPr="005B5C36">
        <w:rPr>
          <w:rFonts w:ascii="Arial" w:hAnsi="Arial" w:cs="Arial"/>
          <w:lang w:val="en-GB"/>
        </w:rPr>
        <w:t>.</w:t>
      </w:r>
    </w:p>
    <w:p w:rsidR="00E8666E" w:rsidRDefault="00E8666E" w:rsidP="00262A7F">
      <w:pPr>
        <w:spacing w:before="100" w:beforeAutospacing="1" w:line="360" w:lineRule="auto"/>
      </w:pPr>
      <w:r>
        <w:rPr>
          <w:rFonts w:ascii="-webkit-standard" w:hAnsi="-webkit-standard"/>
          <w:color w:val="000000"/>
          <w:sz w:val="27"/>
          <w:szCs w:val="27"/>
        </w:rPr>
        <w:t>1.</w:t>
      </w:r>
      <w:r>
        <w:rPr>
          <w:rStyle w:val="apple-converted-space"/>
          <w:rFonts w:ascii="-webkit-standard" w:hAnsi="-webkit-standard"/>
          <w:color w:val="000000"/>
          <w:sz w:val="27"/>
          <w:szCs w:val="27"/>
        </w:rPr>
        <w:t> </w:t>
      </w:r>
      <w:r>
        <w:rPr>
          <w:rStyle w:val="Strong"/>
          <w:color w:val="000000"/>
        </w:rPr>
        <w:t>Churn Count Summary</w:t>
      </w:r>
    </w:p>
    <w:p w:rsidR="00A126D4" w:rsidRPr="007679FB" w:rsidRDefault="00A126D4" w:rsidP="00262A7F">
      <w:pPr>
        <w:pStyle w:val="EndNoteBibliography"/>
        <w:spacing w:before="100" w:beforeAutospacing="1" w:line="360" w:lineRule="auto"/>
        <w:rPr>
          <w:rFonts w:ascii="Arial" w:hAnsi="Arial" w:cs="Arial"/>
          <w:lang w:val="en-GB"/>
        </w:rPr>
      </w:pPr>
      <w:r w:rsidRPr="00BB6C7B">
        <w:rPr>
          <w:rFonts w:ascii="Arial" w:hAnsi="Arial" w:cs="Arial"/>
          <w:lang w:val="en-GB"/>
        </w:rPr>
        <w:t xml:space="preserve">To show </w:t>
      </w:r>
      <w:r>
        <w:rPr>
          <w:rFonts w:ascii="Arial" w:hAnsi="Arial" w:cs="Arial"/>
          <w:lang w:val="en-GB"/>
        </w:rPr>
        <w:t>s</w:t>
      </w:r>
      <w:r w:rsidRPr="00BB6C7B">
        <w:rPr>
          <w:rFonts w:ascii="Arial" w:hAnsi="Arial" w:cs="Arial"/>
          <w:lang w:val="en-GB"/>
        </w:rPr>
        <w:t>plit between churned and retained customers</w:t>
      </w:r>
      <w:r>
        <w:rPr>
          <w:rFonts w:ascii="Arial" w:hAnsi="Arial" w:cs="Arial"/>
          <w:lang w:val="en-GB"/>
        </w:rPr>
        <w:t xml:space="preserve">, the study used the SQL command highlighted in the figure below. </w:t>
      </w:r>
    </w:p>
    <w:p w:rsidR="00E8666E" w:rsidRDefault="00E8666E" w:rsidP="00262A7F">
      <w:pPr>
        <w:spacing w:before="100" w:beforeAutospacing="1" w:line="360" w:lineRule="auto"/>
      </w:pPr>
    </w:p>
    <w:p w:rsidR="00680346" w:rsidRDefault="00E8666E" w:rsidP="00262A7F">
      <w:pPr>
        <w:spacing w:before="100" w:beforeAutospacing="1" w:line="360" w:lineRule="auto"/>
        <w:jc w:val="center"/>
      </w:pPr>
      <w:r w:rsidRPr="00E8666E">
        <w:lastRenderedPageBreak/>
        <w:drawing>
          <wp:inline distT="0" distB="0" distL="0" distR="0" wp14:anchorId="3951A4D8" wp14:editId="4C64675F">
            <wp:extent cx="4543720" cy="3545815"/>
            <wp:effectExtent l="0" t="0" r="3175" b="0"/>
            <wp:docPr id="177633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35078" name=""/>
                    <pic:cNvPicPr/>
                  </pic:nvPicPr>
                  <pic:blipFill>
                    <a:blip r:embed="rId6"/>
                    <a:stretch>
                      <a:fillRect/>
                    </a:stretch>
                  </pic:blipFill>
                  <pic:spPr>
                    <a:xfrm>
                      <a:off x="0" y="0"/>
                      <a:ext cx="4569045" cy="3565578"/>
                    </a:xfrm>
                    <a:prstGeom prst="rect">
                      <a:avLst/>
                    </a:prstGeom>
                  </pic:spPr>
                </pic:pic>
              </a:graphicData>
            </a:graphic>
          </wp:inline>
        </w:drawing>
      </w:r>
    </w:p>
    <w:p w:rsidR="00A126D4" w:rsidRDefault="00A126D4" w:rsidP="00262A7F">
      <w:pPr>
        <w:pStyle w:val="EndNoteBibliography"/>
        <w:spacing w:before="100" w:beforeAutospacing="1" w:line="360" w:lineRule="auto"/>
        <w:rPr>
          <w:rFonts w:ascii="Arial" w:hAnsi="Arial" w:cs="Arial"/>
        </w:rPr>
      </w:pPr>
      <w:r>
        <w:rPr>
          <w:rFonts w:ascii="Arial" w:hAnsi="Arial" w:cs="Arial"/>
        </w:rPr>
        <w:t>These results show that o</w:t>
      </w:r>
      <w:r w:rsidRPr="00BB6C7B">
        <w:rPr>
          <w:rFonts w:ascii="Arial" w:hAnsi="Arial" w:cs="Arial"/>
        </w:rPr>
        <w:t>ut of 7,0</w:t>
      </w:r>
      <w:r>
        <w:rPr>
          <w:rFonts w:ascii="Arial" w:hAnsi="Arial" w:cs="Arial"/>
        </w:rPr>
        <w:t>32</w:t>
      </w:r>
      <w:r w:rsidRPr="00BB6C7B">
        <w:rPr>
          <w:rFonts w:ascii="Arial" w:hAnsi="Arial" w:cs="Arial"/>
        </w:rPr>
        <w:t xml:space="preserve"> customers, 1,869 (approximately 26.</w:t>
      </w:r>
      <w:r>
        <w:rPr>
          <w:rFonts w:ascii="Arial" w:hAnsi="Arial" w:cs="Arial"/>
        </w:rPr>
        <w:t>6</w:t>
      </w:r>
      <w:r w:rsidRPr="00BB6C7B">
        <w:rPr>
          <w:rFonts w:ascii="Arial" w:hAnsi="Arial" w:cs="Arial"/>
        </w:rPr>
        <w:t>%) had churned, while 5,1</w:t>
      </w:r>
      <w:r>
        <w:rPr>
          <w:rFonts w:ascii="Arial" w:hAnsi="Arial" w:cs="Arial"/>
        </w:rPr>
        <w:t>63</w:t>
      </w:r>
      <w:r w:rsidRPr="00BB6C7B">
        <w:rPr>
          <w:rFonts w:ascii="Arial" w:hAnsi="Arial" w:cs="Arial"/>
        </w:rPr>
        <w:t xml:space="preserve"> remained active. This suggests that the company is losing over a quarter of its customers</w:t>
      </w:r>
    </w:p>
    <w:p w:rsidR="00A126D4" w:rsidRDefault="00A126D4" w:rsidP="00262A7F">
      <w:pPr>
        <w:spacing w:before="100" w:beforeAutospacing="1" w:line="360" w:lineRule="auto"/>
      </w:pPr>
    </w:p>
    <w:p w:rsidR="00E8666E" w:rsidRDefault="00E8666E" w:rsidP="00262A7F">
      <w:pPr>
        <w:spacing w:before="100" w:beforeAutospacing="1" w:line="360" w:lineRule="auto"/>
      </w:pPr>
    </w:p>
    <w:p w:rsidR="00E8666E" w:rsidRDefault="00E8666E" w:rsidP="00262A7F">
      <w:pPr>
        <w:spacing w:before="100" w:beforeAutospacing="1" w:line="360" w:lineRule="auto"/>
        <w:rPr>
          <w:rStyle w:val="Strong"/>
          <w:color w:val="000000"/>
        </w:rPr>
      </w:pPr>
      <w:r>
        <w:rPr>
          <w:rFonts w:ascii="-webkit-standard" w:hAnsi="-webkit-standard"/>
          <w:color w:val="000000"/>
          <w:sz w:val="27"/>
          <w:szCs w:val="27"/>
        </w:rPr>
        <w:t>2.</w:t>
      </w:r>
      <w:r>
        <w:rPr>
          <w:rStyle w:val="apple-converted-space"/>
          <w:rFonts w:ascii="-webkit-standard" w:hAnsi="-webkit-standard"/>
          <w:color w:val="000000"/>
          <w:sz w:val="27"/>
          <w:szCs w:val="27"/>
        </w:rPr>
        <w:t> </w:t>
      </w:r>
      <w:r>
        <w:rPr>
          <w:rStyle w:val="Strong"/>
          <w:color w:val="000000"/>
        </w:rPr>
        <w:t>Average Monthly Charges by Churn Status</w:t>
      </w:r>
    </w:p>
    <w:p w:rsidR="00E8666E" w:rsidRDefault="00E8666E" w:rsidP="00262A7F">
      <w:pPr>
        <w:spacing w:before="100" w:beforeAutospacing="1" w:line="360" w:lineRule="auto"/>
        <w:rPr>
          <w:rStyle w:val="Strong"/>
          <w:color w:val="000000"/>
        </w:rPr>
      </w:pPr>
    </w:p>
    <w:p w:rsidR="00E8666E" w:rsidRDefault="00E8666E" w:rsidP="00262A7F">
      <w:pPr>
        <w:spacing w:before="100" w:beforeAutospacing="1" w:line="360" w:lineRule="auto"/>
      </w:pPr>
      <w:r w:rsidRPr="00E8666E">
        <w:lastRenderedPageBreak/>
        <w:drawing>
          <wp:inline distT="0" distB="0" distL="0" distR="0" wp14:anchorId="6F921999" wp14:editId="2AE0AB1F">
            <wp:extent cx="4807670" cy="2895262"/>
            <wp:effectExtent l="0" t="0" r="5715" b="635"/>
            <wp:docPr id="1159995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95937" name=""/>
                    <pic:cNvPicPr/>
                  </pic:nvPicPr>
                  <pic:blipFill>
                    <a:blip r:embed="rId7"/>
                    <a:stretch>
                      <a:fillRect/>
                    </a:stretch>
                  </pic:blipFill>
                  <pic:spPr>
                    <a:xfrm>
                      <a:off x="0" y="0"/>
                      <a:ext cx="4816000" cy="2900279"/>
                    </a:xfrm>
                    <a:prstGeom prst="rect">
                      <a:avLst/>
                    </a:prstGeom>
                  </pic:spPr>
                </pic:pic>
              </a:graphicData>
            </a:graphic>
          </wp:inline>
        </w:drawing>
      </w:r>
    </w:p>
    <w:p w:rsidR="001126E2" w:rsidRPr="00262A7F" w:rsidRDefault="00262A7F" w:rsidP="00262A7F">
      <w:pPr>
        <w:pStyle w:val="EndNoteBibliography"/>
        <w:spacing w:before="100" w:beforeAutospacing="1" w:line="360" w:lineRule="auto"/>
        <w:rPr>
          <w:rFonts w:ascii="Arial" w:hAnsi="Arial" w:cs="Arial"/>
        </w:rPr>
      </w:pPr>
      <w:r w:rsidRPr="00BB6C7B">
        <w:rPr>
          <w:rFonts w:ascii="Arial" w:hAnsi="Arial" w:cs="Arial"/>
        </w:rPr>
        <w:t>The results showed that customers who churned had a higher average monthly charge (£74.44) compared to those who stayed (£61.</w:t>
      </w:r>
      <w:r>
        <w:rPr>
          <w:rFonts w:ascii="Arial" w:hAnsi="Arial" w:cs="Arial"/>
        </w:rPr>
        <w:t>31</w:t>
      </w:r>
      <w:r w:rsidRPr="00BB6C7B">
        <w:rPr>
          <w:rFonts w:ascii="Arial" w:hAnsi="Arial" w:cs="Arial"/>
        </w:rPr>
        <w:t>). This suggests that pricing may be a contributing factor to customer churn, and the company should investigate whether high-value customers feel they are receiving sufficient value for the cost</w:t>
      </w:r>
      <w:r w:rsidRPr="005B5C36">
        <w:rPr>
          <w:rFonts w:ascii="Arial" w:hAnsi="Arial" w:cs="Arial"/>
        </w:rPr>
        <w:t>.</w:t>
      </w:r>
    </w:p>
    <w:p w:rsidR="001126E2" w:rsidRDefault="001126E2" w:rsidP="00262A7F">
      <w:pPr>
        <w:spacing w:before="100" w:beforeAutospacing="1" w:line="360" w:lineRule="auto"/>
        <w:rPr>
          <w:rStyle w:val="Strong"/>
          <w:color w:val="000000"/>
        </w:rPr>
      </w:pPr>
      <w:r>
        <w:rPr>
          <w:rFonts w:ascii="-webkit-standard" w:hAnsi="-webkit-standard"/>
          <w:color w:val="000000"/>
          <w:sz w:val="27"/>
          <w:szCs w:val="27"/>
        </w:rPr>
        <w:t>3.</w:t>
      </w:r>
      <w:r>
        <w:rPr>
          <w:rStyle w:val="apple-converted-space"/>
          <w:rFonts w:ascii="-webkit-standard" w:hAnsi="-webkit-standard"/>
          <w:color w:val="000000"/>
          <w:sz w:val="27"/>
          <w:szCs w:val="27"/>
        </w:rPr>
        <w:t> </w:t>
      </w:r>
      <w:r>
        <w:rPr>
          <w:rStyle w:val="Strong"/>
          <w:color w:val="000000"/>
        </w:rPr>
        <w:t>Customer Count by Contract Type</w:t>
      </w:r>
    </w:p>
    <w:p w:rsidR="00262A7F" w:rsidRPr="00262A7F" w:rsidRDefault="00262A7F" w:rsidP="00262A7F">
      <w:pPr>
        <w:pStyle w:val="EndNoteBibliography"/>
        <w:spacing w:before="100" w:beforeAutospacing="1" w:line="360" w:lineRule="auto"/>
        <w:rPr>
          <w:rStyle w:val="Strong"/>
          <w:rFonts w:ascii="Arial" w:hAnsi="Arial" w:cs="Arial"/>
          <w:b w:val="0"/>
          <w:bCs w:val="0"/>
        </w:rPr>
      </w:pPr>
      <w:r>
        <w:rPr>
          <w:rFonts w:ascii="Arial" w:hAnsi="Arial" w:cs="Arial"/>
        </w:rPr>
        <w:t>The command below was used to analyze the impact of contract type on churn rates.</w:t>
      </w:r>
    </w:p>
    <w:p w:rsidR="00262A7F" w:rsidRDefault="001126E2" w:rsidP="00262A7F">
      <w:pPr>
        <w:spacing w:before="100" w:beforeAutospacing="1" w:line="360" w:lineRule="auto"/>
        <w:jc w:val="center"/>
        <w:rPr>
          <w:rFonts w:ascii="Arial" w:hAnsi="Arial" w:cs="Arial"/>
        </w:rPr>
      </w:pPr>
      <w:r w:rsidRPr="001126E2">
        <w:drawing>
          <wp:inline distT="0" distB="0" distL="0" distR="0" wp14:anchorId="6163616E" wp14:editId="5A4C827D">
            <wp:extent cx="4862146" cy="3124279"/>
            <wp:effectExtent l="0" t="0" r="2540" b="0"/>
            <wp:docPr id="97580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02701" name=""/>
                    <pic:cNvPicPr/>
                  </pic:nvPicPr>
                  <pic:blipFill>
                    <a:blip r:embed="rId8"/>
                    <a:stretch>
                      <a:fillRect/>
                    </a:stretch>
                  </pic:blipFill>
                  <pic:spPr>
                    <a:xfrm>
                      <a:off x="0" y="0"/>
                      <a:ext cx="4869487" cy="3128996"/>
                    </a:xfrm>
                    <a:prstGeom prst="rect">
                      <a:avLst/>
                    </a:prstGeom>
                  </pic:spPr>
                </pic:pic>
              </a:graphicData>
            </a:graphic>
          </wp:inline>
        </w:drawing>
      </w:r>
    </w:p>
    <w:p w:rsidR="001126E2" w:rsidRDefault="00262A7F" w:rsidP="00262A7F">
      <w:pPr>
        <w:spacing w:before="100" w:beforeAutospacing="1" w:line="360" w:lineRule="auto"/>
      </w:pPr>
      <w:r w:rsidRPr="00AF0645">
        <w:rPr>
          <w:rFonts w:ascii="Arial" w:hAnsi="Arial" w:cs="Arial"/>
        </w:rPr>
        <w:lastRenderedPageBreak/>
        <w:t>The majority of customers (over 55%) are on month-to-month contracts, which typically come with less commitment. This can be a red flag, as customers with flexible contracts are more likely to leave. Long-term contracts (one or two years) together make up around 45% of the customer base, and these are often associated with lower churn due to contractual obligations.</w:t>
      </w:r>
    </w:p>
    <w:p w:rsidR="001126E2" w:rsidRDefault="001126E2" w:rsidP="00262A7F">
      <w:pPr>
        <w:spacing w:before="100" w:beforeAutospacing="1" w:line="360" w:lineRule="auto"/>
        <w:rPr>
          <w:rStyle w:val="Strong"/>
          <w:color w:val="000000"/>
        </w:rPr>
      </w:pPr>
      <w:r>
        <w:rPr>
          <w:rFonts w:ascii="-webkit-standard" w:hAnsi="-webkit-standard"/>
          <w:color w:val="000000"/>
          <w:sz w:val="27"/>
          <w:szCs w:val="27"/>
        </w:rPr>
        <w:t>4.</w:t>
      </w:r>
      <w:r>
        <w:rPr>
          <w:rStyle w:val="apple-converted-space"/>
          <w:rFonts w:ascii="-webkit-standard" w:hAnsi="-webkit-standard"/>
          <w:color w:val="000000"/>
          <w:sz w:val="27"/>
          <w:szCs w:val="27"/>
        </w:rPr>
        <w:t> </w:t>
      </w:r>
      <w:r>
        <w:rPr>
          <w:rStyle w:val="Strong"/>
          <w:color w:val="000000"/>
        </w:rPr>
        <w:t>Top 5 Highest Paying Customers</w:t>
      </w:r>
    </w:p>
    <w:p w:rsidR="00262A7F" w:rsidRPr="00262A7F" w:rsidRDefault="00262A7F" w:rsidP="00262A7F">
      <w:pPr>
        <w:pStyle w:val="EndNoteBibliography"/>
        <w:spacing w:before="100" w:beforeAutospacing="1" w:line="360" w:lineRule="auto"/>
        <w:rPr>
          <w:rStyle w:val="Strong"/>
          <w:rFonts w:ascii="Arial" w:hAnsi="Arial" w:cs="Arial"/>
          <w:b w:val="0"/>
          <w:bCs w:val="0"/>
          <w:color w:val="000000"/>
        </w:rPr>
      </w:pPr>
      <w:r w:rsidRPr="005B5C36">
        <w:rPr>
          <w:rFonts w:ascii="Arial" w:hAnsi="Arial" w:cs="Arial"/>
          <w:color w:val="000000"/>
        </w:rPr>
        <w:t>We used the following SQL command (see figure</w:t>
      </w:r>
      <w:r>
        <w:rPr>
          <w:rFonts w:ascii="Arial" w:hAnsi="Arial" w:cs="Arial"/>
          <w:color w:val="000000"/>
        </w:rPr>
        <w:t xml:space="preserve"> belo</w:t>
      </w:r>
      <w:r>
        <w:rPr>
          <w:rFonts w:ascii="Arial" w:hAnsi="Arial" w:cs="Arial"/>
          <w:color w:val="000000"/>
        </w:rPr>
        <w:t>w</w:t>
      </w:r>
      <w:r w:rsidRPr="005B5C36">
        <w:rPr>
          <w:rFonts w:ascii="Arial" w:hAnsi="Arial" w:cs="Arial"/>
          <w:color w:val="000000"/>
        </w:rPr>
        <w:t>) to identify high-value customers.</w:t>
      </w:r>
    </w:p>
    <w:p w:rsidR="008473EA" w:rsidRDefault="008473EA" w:rsidP="00262A7F">
      <w:pPr>
        <w:spacing w:before="100" w:beforeAutospacing="1" w:line="360" w:lineRule="auto"/>
        <w:jc w:val="center"/>
      </w:pPr>
      <w:r w:rsidRPr="008473EA">
        <w:drawing>
          <wp:inline distT="0" distB="0" distL="0" distR="0" wp14:anchorId="259164EC" wp14:editId="721C9F38">
            <wp:extent cx="4072379" cy="3609609"/>
            <wp:effectExtent l="0" t="0" r="4445" b="0"/>
            <wp:docPr id="9873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4007" name=""/>
                    <pic:cNvPicPr/>
                  </pic:nvPicPr>
                  <pic:blipFill>
                    <a:blip r:embed="rId9"/>
                    <a:stretch>
                      <a:fillRect/>
                    </a:stretch>
                  </pic:blipFill>
                  <pic:spPr>
                    <a:xfrm>
                      <a:off x="0" y="0"/>
                      <a:ext cx="4078454" cy="3614993"/>
                    </a:xfrm>
                    <a:prstGeom prst="rect">
                      <a:avLst/>
                    </a:prstGeom>
                  </pic:spPr>
                </pic:pic>
              </a:graphicData>
            </a:graphic>
          </wp:inline>
        </w:drawing>
      </w:r>
    </w:p>
    <w:p w:rsidR="008473EA" w:rsidRDefault="008473EA" w:rsidP="00262A7F">
      <w:pPr>
        <w:spacing w:before="100" w:beforeAutospacing="1" w:line="360" w:lineRule="auto"/>
        <w:jc w:val="center"/>
      </w:pPr>
    </w:p>
    <w:p w:rsidR="00262A7F" w:rsidRDefault="00262A7F" w:rsidP="00262A7F">
      <w:pPr>
        <w:spacing w:before="100" w:beforeAutospacing="1" w:line="360" w:lineRule="auto"/>
        <w:rPr>
          <w:rStyle w:val="Strong"/>
          <w:color w:val="000000"/>
        </w:rPr>
      </w:pPr>
    </w:p>
    <w:p w:rsidR="00262A7F" w:rsidRDefault="00262A7F" w:rsidP="00262A7F">
      <w:pPr>
        <w:spacing w:before="100" w:beforeAutospacing="1" w:line="360" w:lineRule="auto"/>
        <w:rPr>
          <w:rStyle w:val="Strong"/>
          <w:color w:val="000000"/>
        </w:rPr>
      </w:pPr>
    </w:p>
    <w:p w:rsidR="00262A7F" w:rsidRDefault="00262A7F" w:rsidP="00262A7F">
      <w:pPr>
        <w:spacing w:before="100" w:beforeAutospacing="1" w:line="360" w:lineRule="auto"/>
        <w:rPr>
          <w:rStyle w:val="Strong"/>
          <w:color w:val="000000"/>
        </w:rPr>
      </w:pPr>
    </w:p>
    <w:p w:rsidR="00262A7F" w:rsidRDefault="00262A7F" w:rsidP="00262A7F">
      <w:pPr>
        <w:spacing w:before="100" w:beforeAutospacing="1" w:line="360" w:lineRule="auto"/>
        <w:rPr>
          <w:rStyle w:val="Strong"/>
          <w:color w:val="000000"/>
        </w:rPr>
      </w:pPr>
    </w:p>
    <w:p w:rsidR="008473EA" w:rsidRDefault="008473EA" w:rsidP="00262A7F">
      <w:pPr>
        <w:spacing w:before="100" w:beforeAutospacing="1" w:line="360" w:lineRule="auto"/>
        <w:rPr>
          <w:rStyle w:val="Strong"/>
          <w:color w:val="000000"/>
        </w:rPr>
      </w:pPr>
      <w:r>
        <w:rPr>
          <w:rStyle w:val="Strong"/>
          <w:color w:val="000000"/>
        </w:rPr>
        <w:lastRenderedPageBreak/>
        <w:t xml:space="preserve">5. </w:t>
      </w:r>
      <w:r>
        <w:rPr>
          <w:rStyle w:val="Strong"/>
          <w:color w:val="000000"/>
        </w:rPr>
        <w:t>Churn by Internet Service Type</w:t>
      </w:r>
    </w:p>
    <w:p w:rsidR="00A126D4" w:rsidRPr="00262A7F" w:rsidRDefault="00A126D4" w:rsidP="00262A7F">
      <w:pPr>
        <w:spacing w:before="100" w:beforeAutospacing="1" w:line="360" w:lineRule="auto"/>
      </w:pPr>
      <w:r w:rsidRPr="00A126D4">
        <w:drawing>
          <wp:inline distT="0" distB="0" distL="0" distR="0" wp14:anchorId="4D01B4A5" wp14:editId="544E9266">
            <wp:extent cx="5727700" cy="3342640"/>
            <wp:effectExtent l="0" t="0" r="0" b="0"/>
            <wp:docPr id="150787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7985" name=""/>
                    <pic:cNvPicPr/>
                  </pic:nvPicPr>
                  <pic:blipFill>
                    <a:blip r:embed="rId10"/>
                    <a:stretch>
                      <a:fillRect/>
                    </a:stretch>
                  </pic:blipFill>
                  <pic:spPr>
                    <a:xfrm>
                      <a:off x="0" y="0"/>
                      <a:ext cx="5727700" cy="3342640"/>
                    </a:xfrm>
                    <a:prstGeom prst="rect">
                      <a:avLst/>
                    </a:prstGeom>
                  </pic:spPr>
                </pic:pic>
              </a:graphicData>
            </a:graphic>
          </wp:inline>
        </w:drawing>
      </w:r>
    </w:p>
    <w:p w:rsidR="00A126D4" w:rsidRDefault="00A126D4" w:rsidP="00262A7F">
      <w:pPr>
        <w:pStyle w:val="EndNoteBibliography"/>
        <w:spacing w:before="100" w:beforeAutospacing="1" w:line="360" w:lineRule="auto"/>
        <w:rPr>
          <w:rFonts w:ascii="Arial" w:hAnsi="Arial" w:cs="Arial"/>
        </w:rPr>
      </w:pPr>
      <w:r w:rsidRPr="005B5C36">
        <w:rPr>
          <w:rFonts w:ascii="Arial" w:hAnsi="Arial" w:cs="Arial"/>
        </w:rPr>
        <w:t>Customers using Fiber optic internet show a higher churn count compared to DSL users. This could suggest dissatisfaction with service reliability or pricing.</w:t>
      </w:r>
    </w:p>
    <w:p w:rsidR="00A126D4" w:rsidRDefault="00A126D4" w:rsidP="00262A7F">
      <w:pPr>
        <w:spacing w:before="100" w:beforeAutospacing="1" w:line="360" w:lineRule="auto"/>
      </w:pPr>
    </w:p>
    <w:sectPr w:rsidR="00A126D4" w:rsidSect="00AF406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webkit-standard">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B83C23"/>
    <w:multiLevelType w:val="hybridMultilevel"/>
    <w:tmpl w:val="7D0CB54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902720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66E"/>
    <w:rsid w:val="0003569D"/>
    <w:rsid w:val="00043F97"/>
    <w:rsid w:val="00061FEF"/>
    <w:rsid w:val="00064315"/>
    <w:rsid w:val="00095C8F"/>
    <w:rsid w:val="001126E2"/>
    <w:rsid w:val="00120F9A"/>
    <w:rsid w:val="00136F10"/>
    <w:rsid w:val="00173544"/>
    <w:rsid w:val="00194A4F"/>
    <w:rsid w:val="001A4412"/>
    <w:rsid w:val="001B3A9B"/>
    <w:rsid w:val="00262A7F"/>
    <w:rsid w:val="0027254A"/>
    <w:rsid w:val="002C3316"/>
    <w:rsid w:val="0031192E"/>
    <w:rsid w:val="00347A0D"/>
    <w:rsid w:val="00354AE2"/>
    <w:rsid w:val="0036183C"/>
    <w:rsid w:val="0037028E"/>
    <w:rsid w:val="0037244D"/>
    <w:rsid w:val="003B18D1"/>
    <w:rsid w:val="003C31C9"/>
    <w:rsid w:val="003D70F0"/>
    <w:rsid w:val="003E35A4"/>
    <w:rsid w:val="004323BB"/>
    <w:rsid w:val="00474CD7"/>
    <w:rsid w:val="004C14FA"/>
    <w:rsid w:val="004D3B3B"/>
    <w:rsid w:val="004D69B0"/>
    <w:rsid w:val="004E6919"/>
    <w:rsid w:val="004F4477"/>
    <w:rsid w:val="00553F3E"/>
    <w:rsid w:val="00561728"/>
    <w:rsid w:val="005A4E09"/>
    <w:rsid w:val="005D3D4A"/>
    <w:rsid w:val="005F63F3"/>
    <w:rsid w:val="00631D8F"/>
    <w:rsid w:val="00634C70"/>
    <w:rsid w:val="00666776"/>
    <w:rsid w:val="00680346"/>
    <w:rsid w:val="006D50F9"/>
    <w:rsid w:val="006E6C6E"/>
    <w:rsid w:val="00726D1A"/>
    <w:rsid w:val="00731028"/>
    <w:rsid w:val="00744C53"/>
    <w:rsid w:val="00775B60"/>
    <w:rsid w:val="00783F55"/>
    <w:rsid w:val="007973BB"/>
    <w:rsid w:val="007D2B6C"/>
    <w:rsid w:val="007E5728"/>
    <w:rsid w:val="00801C88"/>
    <w:rsid w:val="00802316"/>
    <w:rsid w:val="00822BF2"/>
    <w:rsid w:val="00832D2C"/>
    <w:rsid w:val="008473EA"/>
    <w:rsid w:val="0087056B"/>
    <w:rsid w:val="008A1DA6"/>
    <w:rsid w:val="008A4626"/>
    <w:rsid w:val="008C6741"/>
    <w:rsid w:val="008E5FF7"/>
    <w:rsid w:val="00967B9A"/>
    <w:rsid w:val="009A7E2C"/>
    <w:rsid w:val="009E1F16"/>
    <w:rsid w:val="00A126D4"/>
    <w:rsid w:val="00A12832"/>
    <w:rsid w:val="00A334EF"/>
    <w:rsid w:val="00A44844"/>
    <w:rsid w:val="00A50948"/>
    <w:rsid w:val="00A54EF5"/>
    <w:rsid w:val="00A555FD"/>
    <w:rsid w:val="00A612EB"/>
    <w:rsid w:val="00A9520B"/>
    <w:rsid w:val="00AA669C"/>
    <w:rsid w:val="00AB0BE7"/>
    <w:rsid w:val="00AB5C06"/>
    <w:rsid w:val="00AF406E"/>
    <w:rsid w:val="00B1238D"/>
    <w:rsid w:val="00B4028B"/>
    <w:rsid w:val="00B53ACE"/>
    <w:rsid w:val="00B53B49"/>
    <w:rsid w:val="00BA54C1"/>
    <w:rsid w:val="00BB3FCB"/>
    <w:rsid w:val="00BD4C15"/>
    <w:rsid w:val="00C571A4"/>
    <w:rsid w:val="00C85867"/>
    <w:rsid w:val="00CB72DF"/>
    <w:rsid w:val="00CD2A26"/>
    <w:rsid w:val="00D12B0E"/>
    <w:rsid w:val="00D55AD6"/>
    <w:rsid w:val="00D76E02"/>
    <w:rsid w:val="00DA1845"/>
    <w:rsid w:val="00DA480C"/>
    <w:rsid w:val="00DF507B"/>
    <w:rsid w:val="00E8666E"/>
    <w:rsid w:val="00ED1281"/>
    <w:rsid w:val="00F02EF8"/>
    <w:rsid w:val="00F03A35"/>
    <w:rsid w:val="00F52D46"/>
    <w:rsid w:val="00F7462F"/>
    <w:rsid w:val="00F92978"/>
    <w:rsid w:val="00FC07E7"/>
    <w:rsid w:val="00FC12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2DE9655"/>
  <w15:chartTrackingRefBased/>
  <w15:docId w15:val="{5DDD8D4C-536F-0F4C-925C-30A7209DD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8666E"/>
  </w:style>
  <w:style w:type="character" w:styleId="Strong">
    <w:name w:val="Strong"/>
    <w:basedOn w:val="DefaultParagraphFont"/>
    <w:uiPriority w:val="22"/>
    <w:qFormat/>
    <w:rsid w:val="00E8666E"/>
    <w:rPr>
      <w:b/>
      <w:bCs/>
    </w:rPr>
  </w:style>
  <w:style w:type="paragraph" w:customStyle="1" w:styleId="EndNoteBibliography">
    <w:name w:val="EndNote Bibliography"/>
    <w:basedOn w:val="Normal"/>
    <w:link w:val="EndNoteBibliographyChar"/>
    <w:rsid w:val="00A126D4"/>
    <w:rPr>
      <w:rFonts w:ascii="Calibri" w:hAnsi="Calibri" w:cs="Calibri"/>
      <w:lang w:val="en-US"/>
    </w:rPr>
  </w:style>
  <w:style w:type="character" w:customStyle="1" w:styleId="EndNoteBibliographyChar">
    <w:name w:val="EndNote Bibliography Char"/>
    <w:basedOn w:val="DefaultParagraphFont"/>
    <w:link w:val="EndNoteBibliography"/>
    <w:rsid w:val="00A126D4"/>
    <w:rPr>
      <w:rFonts w:ascii="Calibri" w:hAnsi="Calibri" w:cs="Calibri"/>
      <w:lang w:val="en-US"/>
    </w:rPr>
  </w:style>
  <w:style w:type="character" w:styleId="Hyperlink">
    <w:name w:val="Hyperlink"/>
    <w:basedOn w:val="DefaultParagraphFont"/>
    <w:uiPriority w:val="99"/>
    <w:unhideWhenUsed/>
    <w:rsid w:val="00A126D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kaggle.com/datasets/blastchar/telco-customer-churn"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5</Pages>
  <Words>373</Words>
  <Characters>2127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Ndiwa Simotwq</dc:creator>
  <cp:keywords/>
  <dc:description/>
  <cp:lastModifiedBy>Martin Ndiwa Simotwq</cp:lastModifiedBy>
  <cp:revision>1</cp:revision>
  <dcterms:created xsi:type="dcterms:W3CDTF">2025-08-13T02:47:00Z</dcterms:created>
  <dcterms:modified xsi:type="dcterms:W3CDTF">2025-08-13T04:52:00Z</dcterms:modified>
</cp:coreProperties>
</file>