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DEVIN KNOWLEDGE / SKILLS</w:t>
      </w:r>
    </w:p>
    <w:p>
      <w:pPr>
        <w:jc w:val="center"/>
      </w:pPr>
      <w:r>
        <w:rPr>
          <w:color w:val="2F5597"/>
          <w:sz w:val="24"/>
        </w:rPr>
        <w:t>Smart Hospital &amp; Patient Management System • Persistent project context</w:t>
      </w:r>
    </w:p>
    <w:p>
      <w:r>
        <w:t>Purpose: Store stable project facts, engineering conventions, domain rules and reusable technical knowledge that Devin should consult while implementing any phase. This document is intended for the Knowledge resource (skills/context), not as a one-time task prompt.</w:t>
      </w:r>
    </w:p>
    <w:p>
      <w:pPr>
        <w:pStyle w:val="Heading1"/>
      </w:pPr>
      <w:r>
        <w:t>1. Project identity and objective</w:t>
      </w:r>
    </w:p>
    <w:p>
      <w:r>
        <w:t>Build a development-demo Smart Hospital &amp; Patient Management System as eight independently testable backend microservices. Use Python FastAPI and PostgreSQL. Work incrementally, one microservice per phase. The current scope is application development only; do not build the React frontend, gateway deployment, Docker orchestration, cloud infrastructure or CI/CD unless a later task explicitly authorizes it.</w:t>
      </w:r>
    </w:p>
    <w:p>
      <w:pPr>
        <w:pStyle w:val="Heading1"/>
      </w:pPr>
      <w:r>
        <w:t>2. System architecture and bounded contexts</w:t>
      </w:r>
    </w:p>
    <w:p>
      <w:r>
        <w:rPr>
          <w:b/>
        </w:rPr>
        <w:t xml:space="preserve">Identity &amp; Access Service: </w:t>
      </w:r>
      <w:r>
        <w:t>Users, password hashes, JWT access tokens, roles and authorization.</w:t>
      </w:r>
    </w:p>
    <w:p>
      <w:r>
        <w:rPr>
          <w:b/>
        </w:rPr>
        <w:t xml:space="preserve">Patient Service: </w:t>
      </w:r>
      <w:r>
        <w:t>Patient registration, demographics, contact data and patient lookup.</w:t>
      </w:r>
    </w:p>
    <w:p>
      <w:r>
        <w:rPr>
          <w:b/>
        </w:rPr>
        <w:t xml:space="preserve">Provider Service: </w:t>
      </w:r>
      <w:r>
        <w:t>Doctor/provider profiles, specialties and active status.</w:t>
      </w:r>
    </w:p>
    <w:p>
      <w:r>
        <w:rPr>
          <w:b/>
        </w:rPr>
        <w:t xml:space="preserve">Facility &amp; Department Service: </w:t>
      </w:r>
      <w:r>
        <w:t>Facilities, departments, timezone metadata and optional rooms.</w:t>
      </w:r>
    </w:p>
    <w:p>
      <w:r>
        <w:rPr>
          <w:b/>
        </w:rPr>
        <w:t xml:space="preserve">Scheduling &amp; Availability Service: </w:t>
      </w:r>
      <w:r>
        <w:t>Provider working hours, exceptions and advisory available-slot queries.</w:t>
      </w:r>
    </w:p>
    <w:p>
      <w:r>
        <w:rPr>
          <w:b/>
        </w:rPr>
        <w:t xml:space="preserve">Appointment Service: </w:t>
      </w:r>
      <w:r>
        <w:t>Booking lifecycle, rescheduling, cancellation and concurrency-safe double-booking prevention.</w:t>
      </w:r>
    </w:p>
    <w:p>
      <w:r>
        <w:rPr>
          <w:b/>
        </w:rPr>
        <w:t xml:space="preserve">Encounter / Visit Service: </w:t>
      </w:r>
      <w:r>
        <w:t>Visit records and history, timestamps, non-diagnostic administrative notes and access restrictions.</w:t>
      </w:r>
    </w:p>
    <w:p>
      <w:r>
        <w:rPr>
          <w:b/>
        </w:rPr>
        <w:t xml:space="preserve">Notification Service: </w:t>
      </w:r>
      <w:r>
        <w:t>Notification requests, templates, mock email/SMS adapters, delivery status and idempotency.</w:t>
      </w:r>
    </w:p>
    <w:p>
      <w:r>
        <w:t>The API Gateway is a future entry-point component, not one of the eight business microservices. Each service owns its own tables and migration history. Services must not query or write another service's database directly. Use explicit HTTP API contracts or domain events.</w:t>
      </w:r>
    </w:p>
    <w:p>
      <w:pPr>
        <w:pStyle w:val="Heading1"/>
      </w:pPr>
      <w:r>
        <w:t>3. Standard technology baseline</w:t>
      </w:r>
    </w:p>
    <w:p>
      <w:pPr>
        <w:pStyle w:val="ListBullet"/>
      </w:pPr>
      <w:r>
        <w:t>Python 3.12+; FastAPI; Pydantic v2; SQLAlchemy 2.x; Alembic; PostgreSQL; pytest; HTTPX TestClient.</w:t>
      </w:r>
    </w:p>
    <w:p>
      <w:pPr>
        <w:pStyle w:val="ListBullet"/>
      </w:pPr>
      <w:r>
        <w:t>Use compatible versions pinned by the repository if it already has a dependency policy. Do not upgrade dependencies without a reason and test evidence.</w:t>
      </w:r>
    </w:p>
    <w:p>
      <w:pPr>
        <w:pStyle w:val="ListBullet"/>
      </w:pPr>
      <w:r>
        <w:t>Use a layered service structure: routers, schemas, models, services/use-cases, repositories, configuration and tests.</w:t>
      </w:r>
    </w:p>
    <w:p>
      <w:pPr>
        <w:pStyle w:val="ListBullet"/>
      </w:pPr>
      <w:r>
        <w:t>Use /api/v1 route prefixes, explicit request/response schemas, UUID IDs where suitable, UTC/timezone-aware timestamps, pagination, predictable HTTP errors, OpenAPI documentation and a health endpoint.</w:t>
      </w:r>
    </w:p>
    <w:p>
      <w:pPr>
        <w:pStyle w:val="ListBullet"/>
      </w:pPr>
      <w:r>
        <w:t>Keep each service independently runnable and testable. Use a service-specific README, dependency manifest, environment example and migration configuration.</w:t>
      </w:r>
    </w:p>
    <w:p>
      <w:pPr>
        <w:pStyle w:val="ListBullet"/>
      </w:pPr>
      <w:r>
        <w:t>Use environment variables for configuration. Commit only .env.example placeholders, never credentials or real secrets.</w:t>
      </w:r>
    </w:p>
    <w:p>
      <w:pPr>
        <w:pStyle w:val="Heading1"/>
      </w:pPr>
      <w:r>
        <w:t>4. Security and privacy principles</w:t>
      </w:r>
    </w:p>
    <w:p>
      <w:pPr>
        <w:pStyle w:val="ListBullet"/>
      </w:pPr>
      <w:r>
        <w:t>Use synthetic, fictional patient/provider data only in development, demos, tests and screenshots.</w:t>
      </w:r>
    </w:p>
    <w:p>
      <w:pPr>
        <w:pStyle w:val="ListBullet"/>
      </w:pPr>
      <w:r>
        <w:t>Never log passwords, tokens, full request bodies, patient contact details, dates of birth or encounter note contents.</w:t>
      </w:r>
    </w:p>
    <w:p>
      <w:pPr>
        <w:pStyle w:val="ListBullet"/>
      </w:pPr>
      <w:r>
        <w:t>Identity service must hash passwords with a reputable library; never store plaintext passwords.</w:t>
      </w:r>
    </w:p>
    <w:p>
      <w:pPr>
        <w:pStyle w:val="ListBullet"/>
      </w:pPr>
      <w:r>
        <w:t>All protected services validate the caller's token and enforce authorization server-side. A role supplied in request JSON is never a trusted source of permissions.</w:t>
      </w:r>
    </w:p>
    <w:p>
      <w:pPr>
        <w:pStyle w:val="ListBullet"/>
      </w:pPr>
      <w:r>
        <w:t>Use least privilege. Return only fields required by the API caller; validate and normalize inputs.</w:t>
      </w:r>
    </w:p>
    <w:p>
      <w:pPr>
        <w:pStyle w:val="ListBullet"/>
      </w:pPr>
      <w:r>
        <w:t>Do not put clinical or sensitive information in notification messages by default.</w:t>
      </w:r>
    </w:p>
    <w:p>
      <w:pPr>
        <w:pStyle w:val="ListBullet"/>
      </w:pPr>
      <w:r>
        <w:t>This is an administrative learning/demo application, not a certified clinical system. Do not implement diagnosis, treatment recommendations, autonomous clinical decisions or emergency triage.</w:t>
      </w:r>
    </w:p>
    <w:p>
      <w:pPr>
        <w:pStyle w:val="ListBullet"/>
      </w:pPr>
      <w:r>
        <w:t>Before real production data/use, require appropriate security, privacy, legal, clinical and operational review.</w:t>
      </w:r>
    </w:p>
    <w:p>
      <w:pPr>
        <w:pStyle w:val="Heading1"/>
      </w:pPr>
      <w:r>
        <w:t>5. Service ownership and integration rules</w:t>
      </w:r>
    </w:p>
    <w:p>
      <w:pPr>
        <w:pStyle w:val="ListBullet"/>
      </w:pPr>
      <w:r>
        <w:t>Identity owns user/account/role data; Patient owns patient data; Provider owns provider profiles; Facility owns facility/department data; Scheduling owns availability rules; Appointment owns bookings and booking integrity; Encounter owns visit records; Notification owns notification requests and delivery status.</w:t>
      </w:r>
    </w:p>
    <w:p>
      <w:pPr>
        <w:pStyle w:val="ListBullet"/>
      </w:pPr>
      <w:r>
        <w:t>Cross-service references should normally be IDs. Do not copy whole patient/provider records into another service's tables unless a deliberate, documented snapshot is needed.</w:t>
      </w:r>
    </w:p>
    <w:p>
      <w:pPr>
        <w:pStyle w:val="ListBullet"/>
      </w:pPr>
      <w:r>
        <w:t>Use explicit typed request/response contracts and timeouts for service clients. Make clients mockable in tests.</w:t>
      </w:r>
    </w:p>
    <w:p>
      <w:pPr>
        <w:pStyle w:val="ListBullet"/>
      </w:pPr>
      <w:r>
        <w:t>If a dependent service has not been implemented, define a narrow interface and use a test stub. Do not introduce a production authorization bypass or fake success behavior.</w:t>
      </w:r>
    </w:p>
    <w:p>
      <w:pPr>
        <w:pStyle w:val="ListBullet"/>
      </w:pPr>
      <w:r>
        <w:t>Appointment is the final authority for booking correctness. Availability responses are advisory; use a transaction/constraint/locking strategy to prevent concurrent double-booking.</w:t>
      </w:r>
    </w:p>
    <w:p>
      <w:pPr>
        <w:pStyle w:val="ListBullet"/>
      </w:pPr>
      <w:r>
        <w:t>Notification integrations must be transport-independent. Start with a durable request and mock adapter; a message broker/worker is future scope unless explicitly requested.</w:t>
      </w:r>
    </w:p>
    <w:p>
      <w:pPr>
        <w:pStyle w:val="ListBullet"/>
      </w:pPr>
      <w:r>
        <w:t>Do not create distributed transactions. Document failure behavior and use idempotency where requests/events may be repeated.</w:t>
      </w:r>
    </w:p>
    <w:p>
      <w:pPr>
        <w:pStyle w:val="Heading1"/>
      </w:pPr>
      <w:r>
        <w:t>6. Testing and quality expectations</w:t>
      </w:r>
    </w:p>
    <w:p>
      <w:pPr>
        <w:pStyle w:val="ListBullet"/>
      </w:pPr>
      <w:r>
        <w:t>Write unit and API tests for happy paths, invalid payloads, not-found responses, permission failures, state transitions and relevant edge cases.</w:t>
      </w:r>
    </w:p>
    <w:p>
      <w:pPr>
        <w:pStyle w:val="ListBullet"/>
      </w:pPr>
      <w:r>
        <w:t>Tests should use isolated test configuration and synthetic fixtures. They must not require live external systems.</w:t>
      </w:r>
    </w:p>
    <w:p>
      <w:pPr>
        <w:pStyle w:val="ListBullet"/>
      </w:pPr>
      <w:r>
        <w:t>Run tests after meaningful changes; report the actual command and result. Never claim tests passed if they were not run.</w:t>
      </w:r>
    </w:p>
    <w:p>
      <w:pPr>
        <w:pStyle w:val="ListBullet"/>
      </w:pPr>
      <w:r>
        <w:t>Add regression tests for every fixed defect. For booking logic, include concurrent/conflicting request tests.</w:t>
      </w:r>
    </w:p>
    <w:p>
      <w:pPr>
        <w:pStyle w:val="ListBullet"/>
      </w:pPr>
      <w:r>
        <w:t>Keep error messages useful but do not reveal secrets or sensitive records.</w:t>
      </w:r>
    </w:p>
    <w:p>
      <w:pPr>
        <w:pStyle w:val="ListBullet"/>
      </w:pPr>
      <w:r>
        <w:t>Inspect the git diff for accidental unrelated changes, hard-coded secrets, debug code and generated files before finishing.</w:t>
      </w:r>
    </w:p>
    <w:p>
      <w:pPr>
        <w:pStyle w:val="Heading1"/>
      </w:pPr>
      <w:r>
        <w:t>7. Time, IDs, naming and API conventions</w:t>
      </w:r>
    </w:p>
    <w:p>
      <w:pPr>
        <w:pStyle w:val="ListBullet"/>
      </w:pPr>
      <w:r>
        <w:t>Use UUID primary identifiers where appropriate; add human-friendly references only where they have clear business value.</w:t>
      </w:r>
    </w:p>
    <w:p>
      <w:pPr>
        <w:pStyle w:val="ListBullet"/>
      </w:pPr>
      <w:r>
        <w:t>Persist timestamps as timezone-aware UTC. Facility timezone metadata is used to interpret local schedules.</w:t>
      </w:r>
    </w:p>
    <w:p>
      <w:pPr>
        <w:pStyle w:val="ListBullet"/>
      </w:pPr>
      <w:r>
        <w:t>Use consistent snake_case for Python fields and JSON unless an existing API contract says otherwise.</w:t>
      </w:r>
    </w:p>
    <w:p>
      <w:pPr>
        <w:pStyle w:val="ListBullet"/>
      </w:pPr>
      <w:r>
        <w:t>Use plural resource paths such as /api/v1/patients and /api/v1/appointments.</w:t>
      </w:r>
    </w:p>
    <w:p>
      <w:pPr>
        <w:pStyle w:val="ListBullet"/>
      </w:pPr>
      <w:r>
        <w:t>Use 401 for missing/invalid authentication, 403 for insufficient permissions, 404 for missing resources, 409 for business conflicts and 422 for request validation where appropriate.</w:t>
      </w:r>
    </w:p>
    <w:p>
      <w:pPr>
        <w:pStyle w:val="ListBullet"/>
      </w:pPr>
      <w:r>
        <w:t>Paginate list endpoints and document filtering/sorting behavior.</w:t>
      </w:r>
    </w:p>
    <w:p>
      <w:pPr>
        <w:pStyle w:val="Heading1"/>
      </w:pPr>
      <w:r>
        <w:t>8. Phase order</w:t>
      </w:r>
    </w:p>
    <w:p>
      <w:pPr>
        <w:pStyle w:val="ListNumber"/>
      </w:pPr>
      <w:r>
        <w:t>Identity &amp; Access</w:t>
      </w:r>
    </w:p>
    <w:p>
      <w:pPr>
        <w:pStyle w:val="ListNumber"/>
      </w:pPr>
      <w:r>
        <w:t>Patient</w:t>
      </w:r>
    </w:p>
    <w:p>
      <w:pPr>
        <w:pStyle w:val="ListNumber"/>
      </w:pPr>
      <w:r>
        <w:t>Provider</w:t>
      </w:r>
    </w:p>
    <w:p>
      <w:pPr>
        <w:pStyle w:val="ListNumber"/>
      </w:pPr>
      <w:r>
        <w:t>Facility &amp; Department</w:t>
      </w:r>
    </w:p>
    <w:p>
      <w:pPr>
        <w:pStyle w:val="ListNumber"/>
      </w:pPr>
      <w:r>
        <w:t>Scheduling &amp; Availability</w:t>
      </w:r>
    </w:p>
    <w:p>
      <w:pPr>
        <w:pStyle w:val="ListNumber"/>
      </w:pPr>
      <w:r>
        <w:t>Appointment</w:t>
      </w:r>
    </w:p>
    <w:p>
      <w:pPr>
        <w:pStyle w:val="ListNumber"/>
      </w:pPr>
      <w:r>
        <w:t>Encounter / Visit</w:t>
      </w:r>
    </w:p>
    <w:p>
      <w:pPr>
        <w:pStyle w:val="ListNumber"/>
      </w:pPr>
      <w:r>
        <w:t>Notification</w:t>
      </w:r>
    </w:p>
    <w:p>
      <w:r>
        <w:t>Only implement the phase explicitly requested. Complete it, run tests, document its contract and stop. Do not automatically start the next service.</w:t>
      </w:r>
    </w:p>
    <w:p>
      <w:pPr>
        <w:pStyle w:val="Heading1"/>
      </w:pPr>
      <w:r>
        <w:t>9. Definition of done</w:t>
      </w:r>
    </w:p>
    <w:p>
      <w:pPr>
        <w:pStyle w:val="ListBullet"/>
      </w:pPr>
      <w:r>
        <w:t>Responsibility and API contract are documented.</w:t>
      </w:r>
    </w:p>
    <w:p>
      <w:pPr>
        <w:pStyle w:val="ListBullet"/>
      </w:pPr>
      <w:r>
        <w:t>Data ownership and authorization are clear.</w:t>
      </w:r>
    </w:p>
    <w:p>
      <w:pPr>
        <w:pStyle w:val="ListBullet"/>
      </w:pPr>
      <w:r>
        <w:t>Migration and safe .env.example are included.</w:t>
      </w:r>
    </w:p>
    <w:p>
      <w:pPr>
        <w:pStyle w:val="ListBullet"/>
      </w:pPr>
      <w:r>
        <w:t>Automated tests run and actual results are reported.</w:t>
      </w:r>
    </w:p>
    <w:p>
      <w:pPr>
        <w:pStyle w:val="ListBullet"/>
      </w:pPr>
      <w:r>
        <w:t>README documents setup, migration, run, test and API documentation.</w:t>
      </w:r>
    </w:p>
    <w:p>
      <w:pPr>
        <w:pStyle w:val="ListBullet"/>
      </w:pPr>
      <w:r>
        <w:t>No real patient data or secrets are committed or logged.</w:t>
      </w:r>
    </w:p>
    <w:p>
      <w:pPr>
        <w:pStyle w:val="ListBullet"/>
      </w:pPr>
      <w:r>
        <w:t>Human reviewer can understand the change and commit/checkpoint it.</w:t>
      </w:r>
    </w:p>
    <w:p>
      <w:pPr>
        <w:pStyle w:val="Heading1"/>
      </w:pPr>
      <w:r>
        <w:t>10. How to apply this Knowledge resource</w:t>
      </w:r>
    </w:p>
    <w:p>
      <w:pPr>
        <w:pStyle w:val="ListBullet"/>
      </w:pPr>
      <w:r>
        <w:t>Add this document/content to Devin Knowledge so it acts as stable project context.</w:t>
      </w:r>
    </w:p>
    <w:p>
      <w:pPr>
        <w:pStyle w:val="ListBullet"/>
      </w:pPr>
      <w:r>
        <w:t>Keep changing decisions here only when the project architecture or engineering policy actually changes.</w:t>
      </w:r>
    </w:p>
    <w:p>
      <w:pPr>
        <w:pStyle w:val="ListBullet"/>
      </w:pPr>
      <w:r>
        <w:t>Use the separate Playbook resource to control how Devin behaves during tasks; keep task-specific implementation details in the current prompt.</w:t>
      </w:r>
    </w:p>
    <w:p>
      <w:pPr>
        <w:pStyle w:val="ListBullet"/>
      </w:pPr>
      <w:r>
        <w:t>Do not store secrets, credentials, patient records or temporary run output in Knowledge.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resource • Keep aligned with repository decisions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SMART HOSPITAL • DEVIN CONTEXT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