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4472C4"/>
          <w:sz w:val="32"/>
        </w:rPr>
        <w:t>DEVIN AI FOR QA</w:t>
      </w:r>
    </w:p>
    <w:p>
      <w:pPr>
        <w:pStyle w:val="Title"/>
        <w:jc w:val="center"/>
      </w:pPr>
      <w:r>
        <w:t>Requirements-Governed Test Planning,</w:t>
        <w:br/>
        <w:t>Boundary Design &amp; Traceability</w:t>
      </w:r>
    </w:p>
    <w:p>
      <w:pPr>
        <w:jc w:val="center"/>
      </w:pPr>
      <w:r>
        <w:rPr>
          <w:b/>
          <w:sz w:val="30"/>
        </w:rPr>
        <w:t>Complete Two-Hour Webinar Execution Guide</w:t>
      </w:r>
    </w:p>
    <w:p>
      <w:pPr>
        <w:jc w:val="center"/>
      </w:pPr>
      <w:r>
        <w:t>Hands-on Devin workflow using a fictional Smart Hospital points scheme</w:t>
        <w:br/>
        <w:t>Requirements → Existing assets → Test plan → Cases → Traceability → Review → Execution</w:t>
      </w:r>
    </w:p>
    <w:tbl>
      <w:tblPr>
        <w:tblStyle w:val="TableGrid"/>
        <w:tblW w:type="auto" w:w="0"/>
        <w:tblLook w:firstColumn="1" w:firstRow="1" w:lastColumn="0" w:lastRow="0" w:noHBand="0" w:noVBand="1" w:val="04A0"/>
      </w:tblPr>
      <w:tblGrid>
        <w:gridCol w:w="5040"/>
        <w:gridCol w:w="5040"/>
      </w:tblGrid>
      <w:tr>
        <w:tc>
          <w:tcPr>
            <w:tcW w:type="dxa" w:w="5040"/>
            <w:shd w:fill="17365D"/>
          </w:tcPr>
          <w:p>
            <w:r>
              <w:rPr>
                <w:b/>
                <w:color w:val="FFFFFF"/>
                <w:sz w:val="16"/>
              </w:rPr>
              <w:t>Workshop detail</w:t>
            </w:r>
          </w:p>
        </w:tc>
        <w:tc>
          <w:tcPr>
            <w:tcW w:type="dxa" w:w="5040"/>
            <w:shd w:fill="17365D"/>
          </w:tcPr>
          <w:p>
            <w:r>
              <w:rPr>
                <w:b/>
                <w:color w:val="FFFFFF"/>
                <w:sz w:val="16"/>
              </w:rPr>
              <w:t>Plan</w:t>
            </w:r>
          </w:p>
        </w:tc>
      </w:tr>
      <w:tr>
        <w:tc>
          <w:tcPr>
            <w:tcW w:type="dxa" w:w="5040"/>
          </w:tcPr>
          <w:p>
            <w:pPr>
              <w:spacing w:after="0"/>
            </w:pPr>
            <w:r>
              <w:rPr>
                <w:sz w:val="16"/>
              </w:rPr>
              <w:t>Duration</w:t>
            </w:r>
          </w:p>
        </w:tc>
        <w:tc>
          <w:tcPr>
            <w:tcW w:type="dxa" w:w="5040"/>
          </w:tcPr>
          <w:p>
            <w:pPr>
              <w:spacing w:after="0"/>
            </w:pPr>
            <w:r>
              <w:rPr>
                <w:sz w:val="16"/>
              </w:rPr>
              <w:t>120 minutes</w:t>
            </w:r>
          </w:p>
        </w:tc>
      </w:tr>
      <w:tr>
        <w:tc>
          <w:tcPr>
            <w:tcW w:type="dxa" w:w="5040"/>
          </w:tcPr>
          <w:p>
            <w:pPr>
              <w:spacing w:after="0"/>
            </w:pPr>
            <w:r>
              <w:rPr>
                <w:sz w:val="16"/>
              </w:rPr>
              <w:t>Audience</w:t>
            </w:r>
          </w:p>
        </w:tc>
        <w:tc>
          <w:tcPr>
            <w:tcW w:type="dxa" w:w="5040"/>
          </w:tcPr>
          <w:p>
            <w:pPr>
              <w:spacing w:after="0"/>
            </w:pPr>
            <w:r>
              <w:rPr>
                <w:sz w:val="16"/>
              </w:rPr>
              <w:t>QA engineers, test leads, developers, product owners and Devin users</w:t>
            </w:r>
          </w:p>
        </w:tc>
      </w:tr>
      <w:tr>
        <w:tc>
          <w:tcPr>
            <w:tcW w:type="dxa" w:w="5040"/>
          </w:tcPr>
          <w:p>
            <w:pPr>
              <w:spacing w:after="0"/>
            </w:pPr>
            <w:r>
              <w:rPr>
                <w:sz w:val="16"/>
              </w:rPr>
              <w:t>Primary outcome</w:t>
            </w:r>
          </w:p>
        </w:tc>
        <w:tc>
          <w:tcPr>
            <w:tcW w:type="dxa" w:w="5040"/>
          </w:tcPr>
          <w:p>
            <w:pPr>
              <w:spacing w:after="0"/>
            </w:pPr>
            <w:r>
              <w:rPr>
                <w:sz w:val="16"/>
              </w:rPr>
              <w:t>Reviewed test plan and traceable, non-duplicative test case catalogue</w:t>
            </w:r>
          </w:p>
        </w:tc>
      </w:tr>
      <w:tr>
        <w:tc>
          <w:tcPr>
            <w:tcW w:type="dxa" w:w="5040"/>
          </w:tcPr>
          <w:p>
            <w:pPr>
              <w:spacing w:after="0"/>
            </w:pPr>
            <w:r>
              <w:rPr>
                <w:sz w:val="16"/>
              </w:rPr>
              <w:t>Tools</w:t>
            </w:r>
          </w:p>
        </w:tc>
        <w:tc>
          <w:tcPr>
            <w:tcW w:type="dxa" w:w="5040"/>
          </w:tcPr>
          <w:p>
            <w:pPr>
              <w:spacing w:after="0"/>
            </w:pPr>
            <w:r>
              <w:rPr>
                <w:sz w:val="16"/>
              </w:rPr>
              <w:t>Devin, Jira/requirements document, repository with existing tests, Markdown editor</w:t>
            </w:r>
          </w:p>
        </w:tc>
      </w:tr>
      <w:tr>
        <w:tc>
          <w:tcPr>
            <w:tcW w:type="dxa" w:w="5040"/>
          </w:tcPr>
          <w:p>
            <w:pPr>
              <w:spacing w:after="0"/>
            </w:pPr>
            <w:r>
              <w:rPr>
                <w:sz w:val="16"/>
              </w:rPr>
              <w:t>Safety</w:t>
            </w:r>
          </w:p>
        </w:tc>
        <w:tc>
          <w:tcPr>
            <w:tcW w:type="dxa" w:w="5040"/>
          </w:tcPr>
          <w:p>
            <w:pPr>
              <w:spacing w:after="0"/>
            </w:pPr>
            <w:r>
              <w:rPr>
                <w:sz w:val="16"/>
              </w:rPr>
              <w:t>Synthetic patient IDs and fictional data only; never use real patient information or secrets</w:t>
            </w:r>
          </w:p>
        </w:tc>
      </w:tr>
    </w:tbl>
    <w:p/>
    <w:p>
      <w:r>
        <w:br w:type="page"/>
      </w:r>
    </w:p>
    <w:p>
      <w:pPr>
        <w:pStyle w:val="Heading1"/>
      </w:pPr>
      <w:r>
        <w:t>1. Webinar purpose and learning outcomes</w:t>
      </w:r>
    </w:p>
    <w:p>
      <w:r>
        <w:t>This workshop demonstrates Devin as a QA engineering assistant—not an unchecked test-case generator. The workflow starts from approved requirements, inspects existing test assets, drafts a governed plan, designs boundary and negative paths, creates a complete case set, maps every case to acceptance criteria, and reviews whether each test proves the intended behavior.</w:t>
      </w:r>
    </w:p>
    <w:p>
      <w:pPr>
        <w:pStyle w:val="ListBullet"/>
        <w:spacing w:after="40"/>
      </w:pPr>
      <w:r>
        <w:t>Turn business requirements into measurable acceptance criteria and explicit open questions.</w:t>
      </w:r>
    </w:p>
    <w:p>
      <w:pPr>
        <w:pStyle w:val="ListBullet"/>
        <w:spacing w:after="40"/>
      </w:pPr>
      <w:r>
        <w:t>Ground new test generation in existing tests, fixtures, contracts and utilities.</w:t>
      </w:r>
    </w:p>
    <w:p>
      <w:pPr>
        <w:pStyle w:val="ListBullet"/>
        <w:spacing w:after="40"/>
      </w:pPr>
      <w:r>
        <w:t>Design boundary, negative, state-transition, idempotency and concurrency cases where requirements justify them.</w:t>
      </w:r>
    </w:p>
    <w:p>
      <w:pPr>
        <w:pStyle w:val="ListBullet"/>
        <w:spacing w:after="40"/>
      </w:pPr>
      <w:r>
        <w:t>Trace every test case to exact acceptance-criterion IDs.</w:t>
      </w:r>
    </w:p>
    <w:p>
      <w:pPr>
        <w:pStyle w:val="ListBullet"/>
        <w:spacing w:after="40"/>
      </w:pPr>
      <w:r>
        <w:t>Detect duplicates, unsupported assumptions and plausible tests with ineffective assertions.</w:t>
      </w:r>
    </w:p>
    <w:p>
      <w:pPr>
        <w:pStyle w:val="ListBullet"/>
        <w:spacing w:after="40"/>
      </w:pPr>
      <w:r>
        <w:t>Separate proposed tests from implemented tests and tests actually executed.</w:t>
      </w:r>
    </w:p>
    <w:p>
      <w:pPr>
        <w:pStyle w:val="Heading1"/>
      </w:pPr>
      <w:r>
        <w:t>2. Two-hour agenda</w:t>
      </w:r>
    </w:p>
    <w:tbl>
      <w:tblPr>
        <w:tblStyle w:val="TableGrid"/>
        <w:tblW w:type="auto" w:w="0"/>
        <w:tblLook w:firstColumn="1" w:firstRow="1" w:lastColumn="0" w:lastRow="0" w:noHBand="0" w:noVBand="1" w:val="04A0"/>
      </w:tblPr>
      <w:tblGrid>
        <w:gridCol w:w="3360"/>
        <w:gridCol w:w="3360"/>
        <w:gridCol w:w="3360"/>
      </w:tblGrid>
      <w:tr>
        <w:tc>
          <w:tcPr>
            <w:tcW w:type="dxa" w:w="3360"/>
            <w:shd w:fill="17365D"/>
          </w:tcPr>
          <w:p>
            <w:r>
              <w:rPr>
                <w:b/>
                <w:color w:val="FFFFFF"/>
                <w:sz w:val="16"/>
              </w:rPr>
              <w:t>Time</w:t>
            </w:r>
          </w:p>
        </w:tc>
        <w:tc>
          <w:tcPr>
            <w:tcW w:type="dxa" w:w="3360"/>
            <w:shd w:fill="17365D"/>
          </w:tcPr>
          <w:p>
            <w:r>
              <w:rPr>
                <w:b/>
                <w:color w:val="FFFFFF"/>
                <w:sz w:val="16"/>
              </w:rPr>
              <w:t>Section</w:t>
            </w:r>
          </w:p>
        </w:tc>
        <w:tc>
          <w:tcPr>
            <w:tcW w:type="dxa" w:w="3360"/>
            <w:shd w:fill="17365D"/>
          </w:tcPr>
          <w:p>
            <w:r>
              <w:rPr>
                <w:b/>
                <w:color w:val="FFFFFF"/>
                <w:sz w:val="16"/>
              </w:rPr>
              <w:t>Facilitator activity / output</w:t>
            </w:r>
          </w:p>
        </w:tc>
      </w:tr>
      <w:tr>
        <w:tc>
          <w:tcPr>
            <w:tcW w:type="dxa" w:w="3360"/>
          </w:tcPr>
          <w:p>
            <w:pPr>
              <w:spacing w:after="0"/>
            </w:pPr>
            <w:r>
              <w:rPr>
                <w:sz w:val="16"/>
              </w:rPr>
              <w:t>00–10 (10m)</w:t>
            </w:r>
          </w:p>
        </w:tc>
        <w:tc>
          <w:tcPr>
            <w:tcW w:type="dxa" w:w="3360"/>
          </w:tcPr>
          <w:p>
            <w:pPr>
              <w:spacing w:after="0"/>
            </w:pPr>
            <w:r>
              <w:rPr>
                <w:sz w:val="16"/>
              </w:rPr>
              <w:t>Introduction to Devin for QA</w:t>
            </w:r>
          </w:p>
        </w:tc>
        <w:tc>
          <w:tcPr>
            <w:tcW w:type="dxa" w:w="3360"/>
          </w:tcPr>
          <w:p>
            <w:pPr>
              <w:spacing w:after="0"/>
            </w:pPr>
            <w:r>
              <w:rPr>
                <w:sz w:val="16"/>
              </w:rPr>
              <w:t>Explain workflow, guardrails, artefacts and approval gates.</w:t>
            </w:r>
          </w:p>
        </w:tc>
      </w:tr>
      <w:tr>
        <w:tc>
          <w:tcPr>
            <w:tcW w:type="dxa" w:w="3360"/>
          </w:tcPr>
          <w:p>
            <w:pPr>
              <w:spacing w:after="0"/>
            </w:pPr>
            <w:r>
              <w:rPr>
                <w:sz w:val="16"/>
              </w:rPr>
              <w:t>10–25 (15m)</w:t>
            </w:r>
          </w:p>
        </w:tc>
        <w:tc>
          <w:tcPr>
            <w:tcW w:type="dxa" w:w="3360"/>
          </w:tcPr>
          <w:p>
            <w:pPr>
              <w:spacing w:after="0"/>
            </w:pPr>
            <w:r>
              <w:rPr>
                <w:sz w:val="16"/>
              </w:rPr>
              <w:t>Requirements and acceptance criteria</w:t>
            </w:r>
          </w:p>
        </w:tc>
        <w:tc>
          <w:tcPr>
            <w:tcW w:type="dxa" w:w="3360"/>
          </w:tcPr>
          <w:p>
            <w:pPr>
              <w:spacing w:after="0"/>
            </w:pPr>
            <w:r>
              <w:rPr>
                <w:sz w:val="16"/>
              </w:rPr>
              <w:t>Inspect ticket/spec; identify scope, ambiguities and measurable criteria.</w:t>
            </w:r>
          </w:p>
        </w:tc>
      </w:tr>
      <w:tr>
        <w:tc>
          <w:tcPr>
            <w:tcW w:type="dxa" w:w="3360"/>
          </w:tcPr>
          <w:p>
            <w:pPr>
              <w:spacing w:after="0"/>
            </w:pPr>
            <w:r>
              <w:rPr>
                <w:sz w:val="16"/>
              </w:rPr>
              <w:t>25–40 (15m)</w:t>
            </w:r>
          </w:p>
        </w:tc>
        <w:tc>
          <w:tcPr>
            <w:tcW w:type="dxa" w:w="3360"/>
          </w:tcPr>
          <w:p>
            <w:pPr>
              <w:spacing w:after="0"/>
            </w:pPr>
            <w:r>
              <w:rPr>
                <w:sz w:val="16"/>
              </w:rPr>
              <w:t>Existing test-asset discovery</w:t>
            </w:r>
          </w:p>
        </w:tc>
        <w:tc>
          <w:tcPr>
            <w:tcW w:type="dxa" w:w="3360"/>
          </w:tcPr>
          <w:p>
            <w:pPr>
              <w:spacing w:after="0"/>
            </w:pPr>
            <w:r>
              <w:rPr>
                <w:sz w:val="16"/>
              </w:rPr>
              <w:t>Inventory tests, fixtures, utilities and contracts; identify gaps and duplicates.</w:t>
            </w:r>
          </w:p>
        </w:tc>
      </w:tr>
      <w:tr>
        <w:tc>
          <w:tcPr>
            <w:tcW w:type="dxa" w:w="3360"/>
          </w:tcPr>
          <w:p>
            <w:pPr>
              <w:spacing w:after="0"/>
            </w:pPr>
            <w:r>
              <w:rPr>
                <w:sz w:val="16"/>
              </w:rPr>
              <w:t>40–60 (20m)</w:t>
            </w:r>
          </w:p>
        </w:tc>
        <w:tc>
          <w:tcPr>
            <w:tcW w:type="dxa" w:w="3360"/>
          </w:tcPr>
          <w:p>
            <w:pPr>
              <w:spacing w:after="0"/>
            </w:pPr>
            <w:r>
              <w:rPr>
                <w:sz w:val="16"/>
              </w:rPr>
              <w:t>Governed test plan</w:t>
            </w:r>
          </w:p>
        </w:tc>
        <w:tc>
          <w:tcPr>
            <w:tcW w:type="dxa" w:w="3360"/>
          </w:tcPr>
          <w:p>
            <w:pPr>
              <w:spacing w:after="0"/>
            </w:pPr>
            <w:r>
              <w:rPr>
                <w:sz w:val="16"/>
              </w:rPr>
              <w:t>Draft strategy, risks, environment, data and entry/exit criteria.</w:t>
            </w:r>
          </w:p>
        </w:tc>
      </w:tr>
      <w:tr>
        <w:tc>
          <w:tcPr>
            <w:tcW w:type="dxa" w:w="3360"/>
          </w:tcPr>
          <w:p>
            <w:pPr>
              <w:spacing w:after="0"/>
            </w:pPr>
            <w:r>
              <w:rPr>
                <w:sz w:val="16"/>
              </w:rPr>
              <w:t>60–85 (25m)</w:t>
            </w:r>
          </w:p>
        </w:tc>
        <w:tc>
          <w:tcPr>
            <w:tcW w:type="dxa" w:w="3360"/>
          </w:tcPr>
          <w:p>
            <w:pPr>
              <w:spacing w:after="0"/>
            </w:pPr>
            <w:r>
              <w:rPr>
                <w:sz w:val="16"/>
              </w:rPr>
              <w:t>Boundary and negative-path design</w:t>
            </w:r>
          </w:p>
        </w:tc>
        <w:tc>
          <w:tcPr>
            <w:tcW w:type="dxa" w:w="3360"/>
          </w:tcPr>
          <w:p>
            <w:pPr>
              <w:spacing w:after="0"/>
            </w:pPr>
            <w:r>
              <w:rPr>
                <w:sz w:val="16"/>
              </w:rPr>
              <w:t>Explore fee thresholds, appointment states, invalid inputs, duplicates and concurrency.</w:t>
            </w:r>
          </w:p>
        </w:tc>
      </w:tr>
      <w:tr>
        <w:tc>
          <w:tcPr>
            <w:tcW w:type="dxa" w:w="3360"/>
          </w:tcPr>
          <w:p>
            <w:pPr>
              <w:spacing w:after="0"/>
            </w:pPr>
            <w:r>
              <w:rPr>
                <w:sz w:val="16"/>
              </w:rPr>
              <w:t>85–100 (15m)</w:t>
            </w:r>
          </w:p>
        </w:tc>
        <w:tc>
          <w:tcPr>
            <w:tcW w:type="dxa" w:w="3360"/>
          </w:tcPr>
          <w:p>
            <w:pPr>
              <w:spacing w:after="0"/>
            </w:pPr>
            <w:r>
              <w:rPr>
                <w:sz w:val="16"/>
              </w:rPr>
              <w:t>Case set and traceability</w:t>
            </w:r>
          </w:p>
        </w:tc>
        <w:tc>
          <w:tcPr>
            <w:tcW w:type="dxa" w:w="3360"/>
          </w:tcPr>
          <w:p>
            <w:pPr>
              <w:spacing w:after="0"/>
            </w:pPr>
            <w:r>
              <w:rPr>
                <w:sz w:val="16"/>
              </w:rPr>
              <w:t>Create catalogue and requirement-to-test matrix; inspect gaps.</w:t>
            </w:r>
          </w:p>
        </w:tc>
      </w:tr>
      <w:tr>
        <w:tc>
          <w:tcPr>
            <w:tcW w:type="dxa" w:w="3360"/>
          </w:tcPr>
          <w:p>
            <w:pPr>
              <w:spacing w:after="0"/>
            </w:pPr>
            <w:r>
              <w:rPr>
                <w:sz w:val="16"/>
              </w:rPr>
              <w:t>100–112 (12m)</w:t>
            </w:r>
          </w:p>
        </w:tc>
        <w:tc>
          <w:tcPr>
            <w:tcW w:type="dxa" w:w="3360"/>
          </w:tcPr>
          <w:p>
            <w:pPr>
              <w:spacing w:after="0"/>
            </w:pPr>
            <w:r>
              <w:rPr>
                <w:sz w:val="16"/>
              </w:rPr>
              <w:t>Weak/duplicate test review</w:t>
            </w:r>
          </w:p>
        </w:tc>
        <w:tc>
          <w:tcPr>
            <w:tcW w:type="dxa" w:w="3360"/>
          </w:tcPr>
          <w:p>
            <w:pPr>
              <w:spacing w:after="0"/>
            </w:pPr>
            <w:r>
              <w:rPr>
                <w:sz w:val="16"/>
              </w:rPr>
              <w:t>Challenge meaningless assertions and improve examples.</w:t>
            </w:r>
          </w:p>
        </w:tc>
      </w:tr>
      <w:tr>
        <w:tc>
          <w:tcPr>
            <w:tcW w:type="dxa" w:w="3360"/>
          </w:tcPr>
          <w:p>
            <w:pPr>
              <w:spacing w:after="0"/>
            </w:pPr>
            <w:r>
              <w:rPr>
                <w:sz w:val="16"/>
              </w:rPr>
              <w:t>112–120 (8m)</w:t>
            </w:r>
          </w:p>
        </w:tc>
        <w:tc>
          <w:tcPr>
            <w:tcW w:type="dxa" w:w="3360"/>
          </w:tcPr>
          <w:p>
            <w:pPr>
              <w:spacing w:after="0"/>
            </w:pPr>
            <w:r>
              <w:rPr>
                <w:sz w:val="16"/>
              </w:rPr>
              <w:t>Execution/reporting/Q&amp;A</w:t>
            </w:r>
          </w:p>
        </w:tc>
        <w:tc>
          <w:tcPr>
            <w:tcW w:type="dxa" w:w="3360"/>
          </w:tcPr>
          <w:p>
            <w:pPr>
              <w:spacing w:after="0"/>
            </w:pPr>
            <w:r>
              <w:rPr>
                <w:sz w:val="16"/>
              </w:rPr>
              <w:t>Run selected safe tests if possible; report observed results and risks.</w:t>
            </w:r>
          </w:p>
        </w:tc>
      </w:tr>
    </w:tbl>
    <w:p/>
    <w:p>
      <w:pPr>
        <w:pStyle w:val="Heading1"/>
      </w:pPr>
      <w:r>
        <w:t>3. Scenario and rules of engagement</w:t>
      </w:r>
    </w:p>
    <w:p>
      <w:r>
        <w:t>Use one fictional scenario throughout: a hospital points scheme interacts with consultation fees and clinical appointments. The system calculates rewards under an approved formula, awards points only for eligible transactions, avoids duplicate rewards, rejects invalid inputs, and maintains an auditable ledger.</w:t>
      </w:r>
    </w:p>
    <w:p>
      <w:pPr>
        <w:pStyle w:val="Heading2"/>
      </w:pPr>
      <w:r>
        <w:t>3.1 Do not invent business rules</w:t>
      </w:r>
    </w:p>
    <w:p>
      <w:pPr>
        <w:pStyle w:val="ListBullet"/>
        <w:spacing w:after="40"/>
      </w:pPr>
      <w:r>
        <w:t>The product owner or authoritative specification defines the points formula, fee minimum/maximum, rounding, eligibility, appointment completion, cancellation, refunds and retry semantics.</w:t>
      </w:r>
    </w:p>
    <w:p>
      <w:pPr>
        <w:pStyle w:val="ListBullet"/>
        <w:spacing w:after="40"/>
      </w:pPr>
      <w:r>
        <w:t>If a rule is absent, Devin records an open question instead of inventing an expected result.</w:t>
      </w:r>
    </w:p>
    <w:p>
      <w:pPr>
        <w:pStyle w:val="ListBullet"/>
        <w:spacing w:after="40"/>
      </w:pPr>
      <w:r>
        <w:t>Use synthetic patient identifiers and fictional transactions only.</w:t>
      </w:r>
    </w:p>
    <w:p>
      <w:pPr>
        <w:pStyle w:val="ListBullet"/>
        <w:spacing w:after="40"/>
      </w:pPr>
      <w:r>
        <w:t>Do not let Devin change application code or tests during discovery and proposal stages.</w:t>
      </w:r>
    </w:p>
    <w:p>
      <w:pPr>
        <w:pStyle w:val="ListBullet"/>
        <w:spacing w:after="40"/>
      </w:pPr>
      <w:r>
        <w:t>Do not claim a test exists, passes or provides coverage without repository or execution evidence.</w:t>
      </w:r>
    </w:p>
    <w:p>
      <w:pPr>
        <w:pStyle w:val="Heading2"/>
      </w:pPr>
      <w:r>
        <w:t>3.2 Illustrative acceptance criteria</w:t>
      </w:r>
    </w:p>
    <w:p>
      <w:r>
        <w:t>Examples for the workshop only; replace with client-approved criteria before real project use.</w:t>
      </w:r>
    </w:p>
    <w:tbl>
      <w:tblPr>
        <w:tblStyle w:val="TableGrid"/>
        <w:tblW w:type="auto" w:w="0"/>
        <w:tblLook w:firstColumn="1" w:firstRow="1" w:lastColumn="0" w:lastRow="0" w:noHBand="0" w:noVBand="1" w:val="04A0"/>
      </w:tblPr>
      <w:tblGrid>
        <w:gridCol w:w="5040"/>
        <w:gridCol w:w="5040"/>
      </w:tblGrid>
      <w:tr>
        <w:tc>
          <w:tcPr>
            <w:tcW w:type="dxa" w:w="5040"/>
            <w:shd w:fill="17365D"/>
          </w:tcPr>
          <w:p>
            <w:r>
              <w:rPr>
                <w:b/>
                <w:color w:val="FFFFFF"/>
                <w:sz w:val="16"/>
              </w:rPr>
              <w:t>ID</w:t>
            </w:r>
          </w:p>
        </w:tc>
        <w:tc>
          <w:tcPr>
            <w:tcW w:type="dxa" w:w="5040"/>
            <w:shd w:fill="17365D"/>
          </w:tcPr>
          <w:p>
            <w:r>
              <w:rPr>
                <w:b/>
                <w:color w:val="FFFFFF"/>
                <w:sz w:val="16"/>
              </w:rPr>
              <w:t>Illustrative acceptance criterion</w:t>
            </w:r>
          </w:p>
        </w:tc>
      </w:tr>
      <w:tr>
        <w:tc>
          <w:tcPr>
            <w:tcW w:type="dxa" w:w="5040"/>
          </w:tcPr>
          <w:p>
            <w:pPr>
              <w:spacing w:after="0"/>
            </w:pPr>
            <w:r>
              <w:rPr>
                <w:sz w:val="16"/>
              </w:rPr>
              <w:t>AC-01</w:t>
            </w:r>
          </w:p>
        </w:tc>
        <w:tc>
          <w:tcPr>
            <w:tcW w:type="dxa" w:w="5040"/>
          </w:tcPr>
          <w:p>
            <w:pPr>
              <w:spacing w:after="0"/>
            </w:pPr>
            <w:r>
              <w:rPr>
                <w:sz w:val="16"/>
              </w:rPr>
              <w:t>Points are calculated using the approved consultation-fee-to-points formula.</w:t>
            </w:r>
          </w:p>
        </w:tc>
      </w:tr>
      <w:tr>
        <w:tc>
          <w:tcPr>
            <w:tcW w:type="dxa" w:w="5040"/>
          </w:tcPr>
          <w:p>
            <w:pPr>
              <w:spacing w:after="0"/>
            </w:pPr>
            <w:r>
              <w:rPr>
                <w:sz w:val="16"/>
              </w:rPr>
              <w:t>AC-02</w:t>
            </w:r>
          </w:p>
        </w:tc>
        <w:tc>
          <w:tcPr>
            <w:tcW w:type="dxa" w:w="5040"/>
          </w:tcPr>
          <w:p>
            <w:pPr>
              <w:spacing w:after="0"/>
            </w:pPr>
            <w:r>
              <w:rPr>
                <w:sz w:val="16"/>
              </w:rPr>
              <w:t>Only eligible, successfully paid consultation fees earn points.</w:t>
            </w:r>
          </w:p>
        </w:tc>
      </w:tr>
      <w:tr>
        <w:tc>
          <w:tcPr>
            <w:tcW w:type="dxa" w:w="5040"/>
          </w:tcPr>
          <w:p>
            <w:pPr>
              <w:spacing w:after="0"/>
            </w:pPr>
            <w:r>
              <w:rPr>
                <w:sz w:val="16"/>
              </w:rPr>
              <w:t>AC-03</w:t>
            </w:r>
          </w:p>
        </w:tc>
        <w:tc>
          <w:tcPr>
            <w:tcW w:type="dxa" w:w="5040"/>
          </w:tcPr>
          <w:p>
            <w:pPr>
              <w:spacing w:after="0"/>
            </w:pPr>
            <w:r>
              <w:rPr>
                <w:sz w:val="16"/>
              </w:rPr>
              <w:t>An appointment must meet approved eligibility/completion conditions before its reward is granted.</w:t>
            </w:r>
          </w:p>
        </w:tc>
      </w:tr>
      <w:tr>
        <w:tc>
          <w:tcPr>
            <w:tcW w:type="dxa" w:w="5040"/>
          </w:tcPr>
          <w:p>
            <w:pPr>
              <w:spacing w:after="0"/>
            </w:pPr>
            <w:r>
              <w:rPr>
                <w:sz w:val="16"/>
              </w:rPr>
              <w:t>AC-04</w:t>
            </w:r>
          </w:p>
        </w:tc>
        <w:tc>
          <w:tcPr>
            <w:tcW w:type="dxa" w:w="5040"/>
          </w:tcPr>
          <w:p>
            <w:pPr>
              <w:spacing w:after="0"/>
            </w:pPr>
            <w:r>
              <w:rPr>
                <w:sz w:val="16"/>
              </w:rPr>
              <w:t>A qualifying transaction cannot earn points more than once, including retries, if idempotency is required.</w:t>
            </w:r>
          </w:p>
        </w:tc>
      </w:tr>
      <w:tr>
        <w:tc>
          <w:tcPr>
            <w:tcW w:type="dxa" w:w="5040"/>
          </w:tcPr>
          <w:p>
            <w:pPr>
              <w:spacing w:after="0"/>
            </w:pPr>
            <w:r>
              <w:rPr>
                <w:sz w:val="16"/>
              </w:rPr>
              <w:t>AC-05</w:t>
            </w:r>
          </w:p>
        </w:tc>
        <w:tc>
          <w:tcPr>
            <w:tcW w:type="dxa" w:w="5040"/>
          </w:tcPr>
          <w:p>
            <w:pPr>
              <w:spacing w:after="0"/>
            </w:pPr>
            <w:r>
              <w:rPr>
                <w:sz w:val="16"/>
              </w:rPr>
              <w:t>Invalid fee values are handled according to the API contract.</w:t>
            </w:r>
          </w:p>
        </w:tc>
      </w:tr>
      <w:tr>
        <w:tc>
          <w:tcPr>
            <w:tcW w:type="dxa" w:w="5040"/>
          </w:tcPr>
          <w:p>
            <w:pPr>
              <w:spacing w:after="0"/>
            </w:pPr>
            <w:r>
              <w:rPr>
                <w:sz w:val="16"/>
              </w:rPr>
              <w:t>AC-06</w:t>
            </w:r>
          </w:p>
        </w:tc>
        <w:tc>
          <w:tcPr>
            <w:tcW w:type="dxa" w:w="5040"/>
          </w:tcPr>
          <w:p>
            <w:pPr>
              <w:spacing w:after="0"/>
            </w:pPr>
            <w:r>
              <w:rPr>
                <w:sz w:val="16"/>
              </w:rPr>
              <w:t>Rejected transactions do not change the points balance or create a successful reward ledger entry.</w:t>
            </w:r>
          </w:p>
        </w:tc>
      </w:tr>
      <w:tr>
        <w:tc>
          <w:tcPr>
            <w:tcW w:type="dxa" w:w="5040"/>
          </w:tcPr>
          <w:p>
            <w:pPr>
              <w:spacing w:after="0"/>
            </w:pPr>
            <w:r>
              <w:rPr>
                <w:sz w:val="16"/>
              </w:rPr>
              <w:t>AC-07</w:t>
            </w:r>
          </w:p>
        </w:tc>
        <w:tc>
          <w:tcPr>
            <w:tcW w:type="dxa" w:w="5040"/>
          </w:tcPr>
          <w:p>
            <w:pPr>
              <w:spacing w:after="0"/>
            </w:pPr>
            <w:r>
              <w:rPr>
                <w:sz w:val="16"/>
              </w:rPr>
              <w:t>Each points transaction is auditable and traceable to its source event.</w:t>
            </w:r>
          </w:p>
        </w:tc>
      </w:tr>
    </w:tbl>
    <w:p/>
    <w:p>
      <w:pPr>
        <w:pStyle w:val="Heading1"/>
      </w:pPr>
      <w:r>
        <w:t>4. Preparation before the webinar</w:t>
      </w:r>
    </w:p>
    <w:p>
      <w:pPr>
        <w:pStyle w:val="ListBullet"/>
        <w:spacing w:after="40"/>
      </w:pPr>
      <w:r>
        <w:t>Confirm access to Devin and the intended repository.</w:t>
      </w:r>
    </w:p>
    <w:p>
      <w:pPr>
        <w:pStyle w:val="ListBullet"/>
        <w:spacing w:after="40"/>
      </w:pPr>
      <w:r>
        <w:t>Verify repository access and ability to open relevant files.</w:t>
      </w:r>
    </w:p>
    <w:p>
      <w:pPr>
        <w:pStyle w:val="ListBullet"/>
        <w:spacing w:after="40"/>
      </w:pPr>
      <w:r>
        <w:t>Choose a requirements source: Jira ticket, acceptance-criteria document, API contract or specification.</w:t>
      </w:r>
    </w:p>
    <w:p>
      <w:pPr>
        <w:pStyle w:val="ListBullet"/>
        <w:spacing w:after="40"/>
      </w:pPr>
      <w:r>
        <w:t>Identify the documented test command (for example, pytest) and setup requirements; do not assume it without checking repository instructions.</w:t>
      </w:r>
    </w:p>
    <w:p>
      <w:pPr>
        <w:pStyle w:val="ListBullet"/>
        <w:spacing w:after="40"/>
      </w:pPr>
      <w:r>
        <w:t>Prepare a branch or sandbox for later implementation. Do not modify the main branch during the demo.</w:t>
      </w:r>
    </w:p>
    <w:p>
      <w:pPr>
        <w:pStyle w:val="ListBullet"/>
        <w:spacing w:after="40"/>
      </w:pPr>
      <w:r>
        <w:t>Ensure synthetic data is used and production databases/external services are not required.</w:t>
      </w:r>
    </w:p>
    <w:p>
      <w:pPr>
        <w:pStyle w:val="ListBullet"/>
        <w:spacing w:after="40"/>
      </w:pPr>
      <w:r>
        <w:t>Prepare a fallback sample repository or captured output if access or execution fails.</w:t>
      </w:r>
    </w:p>
    <w:p>
      <w:pPr>
        <w:pStyle w:val="Heading1"/>
      </w:pPr>
      <w:r>
        <w:t>5. Step-by-step Devin execution</w:t>
      </w:r>
    </w:p>
    <w:p>
      <w:pPr>
        <w:pStyle w:val="Heading2"/>
      </w:pPr>
      <w:r>
        <w:t>Step 1 — Open a Devin session and establish scope (00–10 min)</w:t>
      </w:r>
    </w:p>
    <w:p>
      <w:pPr>
        <w:pStyle w:val="ListNumber"/>
        <w:spacing w:after="40"/>
      </w:pPr>
      <w:r>
        <w:t>Open Devin and start a new session.</w:t>
      </w:r>
    </w:p>
    <w:p>
      <w:pPr>
        <w:pStyle w:val="ListNumber"/>
        <w:spacing w:after="40"/>
      </w:pPr>
      <w:r>
        <w:t>Select the repository containing the application and existing tests.</w:t>
      </w:r>
    </w:p>
    <w:p>
      <w:pPr>
        <w:pStyle w:val="ListNumber"/>
        <w:spacing w:after="40"/>
      </w:pPr>
      <w:r>
        <w:t>Provide the Jira ticket or approved requirement; if inaccessible, paste the relevant criteria.</w:t>
      </w:r>
    </w:p>
    <w:p>
      <w:pPr>
        <w:pStyle w:val="ListNumber"/>
        <w:spacing w:after="40"/>
      </w:pPr>
      <w:r>
        <w:t>Ask Devin to inspect first and make no edits. Confirm the scope and exclusions.</w:t>
      </w:r>
    </w:p>
    <w:p>
      <w:r>
        <w:t>Facilitator checkpoint: demonstrate that context and constraints come before generation.</w:t>
      </w:r>
    </w:p>
    <w:p>
      <w:pPr>
        <w:pStyle w:val="Heading3"/>
      </w:pPr>
      <w:r>
        <w:t>PROMPT 1 — Repository and requirement discovery</w:t>
      </w:r>
    </w:p>
    <w:p>
      <w:pPr>
        <w:spacing w:after="20"/>
        <w:ind w:left="259"/>
      </w:pPr>
      <w:r>
        <w:rPr>
          <w:rFonts w:ascii="Consolas" w:hAnsi="Consolas"/>
          <w:sz w:val="16"/>
        </w:rPr>
        <w:t>Act as a Senior QA Architect and Test Design Specialist.</w:t>
      </w:r>
    </w:p>
    <w:p>
      <w:pPr>
        <w:spacing w:after="20"/>
        <w:ind w:left="259"/>
      </w:pPr>
      <w:r>
        <w:rPr>
          <w:rFonts w:ascii="Consolas" w:hAnsi="Consolas"/>
          <w:sz w:val="16"/>
        </w:rPr>
        <w:t>We are testing a fictional Smart Hospital points scheme involving consultation fees and clinical appointments.</w:t>
      </w:r>
    </w:p>
    <w:p>
      <w:pPr>
        <w:spacing w:after="20"/>
        <w:ind w:left="259"/>
      </w:pPr>
      <w:r>
        <w:rPr>
          <w:rFonts w:ascii="Consolas" w:hAnsi="Consolas"/>
          <w:sz w:val="16"/>
        </w:rPr>
      </w:r>
    </w:p>
    <w:p>
      <w:pPr>
        <w:spacing w:after="20"/>
        <w:ind w:left="259"/>
      </w:pPr>
      <w:r>
        <w:rPr>
          <w:rFonts w:ascii="Consolas" w:hAnsi="Consolas"/>
          <w:sz w:val="16"/>
        </w:rPr>
        <w:t>Before generating test cases, inspect the repository and provided requirements.</w:t>
      </w:r>
    </w:p>
    <w:p>
      <w:pPr>
        <w:spacing w:after="20"/>
        <w:ind w:left="259"/>
      </w:pPr>
      <w:r>
        <w:rPr>
          <w:rFonts w:ascii="Consolas" w:hAnsi="Consolas"/>
          <w:sz w:val="16"/>
        </w:rPr>
        <w:t>1. Identify acceptance criteria, business rules, API contracts, relevant code, configuration and schema validation.</w:t>
      </w:r>
    </w:p>
    <w:p>
      <w:pPr>
        <w:spacing w:after="20"/>
        <w:ind w:left="259"/>
      </w:pPr>
      <w:r>
        <w:rPr>
          <w:rFonts w:ascii="Consolas" w:hAnsi="Consolas"/>
          <w:sz w:val="16"/>
        </w:rPr>
        <w:t>2. Locate existing unit/API/integration/end-to-end tests, fixtures, factories, helpers and test data.</w:t>
      </w:r>
    </w:p>
    <w:p>
      <w:pPr>
        <w:spacing w:after="20"/>
        <w:ind w:left="259"/>
      </w:pPr>
      <w:r>
        <w:rPr>
          <w:rFonts w:ascii="Consolas" w:hAnsi="Consolas"/>
          <w:sz w:val="16"/>
        </w:rPr>
        <w:t>3. Link each confirmed criterion to existing tests using actual file paths and test names.</w:t>
      </w:r>
    </w:p>
    <w:p>
      <w:pPr>
        <w:spacing w:after="20"/>
        <w:ind w:left="259"/>
      </w:pPr>
      <w:r>
        <w:rPr>
          <w:rFonts w:ascii="Consolas" w:hAnsi="Consolas"/>
          <w:sz w:val="16"/>
        </w:rPr>
        <w:t>4. Identify potential gaps, duplicates, weak assertions and tests that do not prove their named behavior.</w:t>
      </w:r>
    </w:p>
    <w:p>
      <w:pPr>
        <w:spacing w:after="20"/>
        <w:ind w:left="259"/>
      </w:pPr>
      <w:r>
        <w:rPr>
          <w:rFonts w:ascii="Consolas" w:hAnsi="Consolas"/>
          <w:sz w:val="16"/>
        </w:rPr>
        <w:t>5. List missing rules requiring product-owner clarification.</w:t>
      </w:r>
    </w:p>
    <w:p>
      <w:pPr>
        <w:spacing w:after="20"/>
        <w:ind w:left="259"/>
      </w:pPr>
      <w:r>
        <w:rPr>
          <w:rFonts w:ascii="Consolas" w:hAnsi="Consolas"/>
          <w:sz w:val="16"/>
        </w:rPr>
      </w:r>
    </w:p>
    <w:p>
      <w:pPr>
        <w:spacing w:after="20"/>
        <w:ind w:left="259"/>
      </w:pPr>
      <w:r>
        <w:rPr>
          <w:rFonts w:ascii="Consolas" w:hAnsi="Consolas"/>
          <w:sz w:val="16"/>
        </w:rPr>
        <w:t>Do not modify source code or tests. Do not invent the points formula, fee limits, rounding, eligibility, cancellation or refund behavior. Use synthetic data only. Separate evidence, assumptions and questions. If a file or requirement is inaccessible, say so explicitly.</w:t>
      </w:r>
    </w:p>
    <w:p/>
    <w:p>
      <w:pPr>
        <w:pStyle w:val="Heading2"/>
      </w:pPr>
      <w:r>
        <w:t>Step 2 — Review requirements and acceptance criteria (10–25 min)</w:t>
      </w:r>
    </w:p>
    <w:p>
      <w:pPr>
        <w:pStyle w:val="ListBullet"/>
        <w:spacing w:after="40"/>
      </w:pPr>
      <w:r>
        <w:t>Verify that cited file paths and test names actually exist.</w:t>
      </w:r>
    </w:p>
    <w:p>
      <w:pPr>
        <w:pStyle w:val="ListBullet"/>
        <w:spacing w:after="40"/>
      </w:pPr>
      <w:r>
        <w:t>Check whether every criterion is observable and testable; replace vague language with measurable outcomes.</w:t>
      </w:r>
    </w:p>
    <w:p>
      <w:pPr>
        <w:pStyle w:val="ListBullet"/>
        <w:spacing w:after="40"/>
      </w:pPr>
      <w:r>
        <w:t>Record missing decisions: fee range, formula, rounding, appointment states, refunds, duplicate events, concurrent calls and error responses.</w:t>
      </w:r>
    </w:p>
    <w:p>
      <w:pPr>
        <w:pStyle w:val="ListBullet"/>
        <w:spacing w:after="40"/>
      </w:pPr>
      <w:r>
        <w:t>Do not generate exact expected values for rules that remain unknown; ask the product owner or mark the case blocked.</w:t>
      </w:r>
    </w:p>
    <w:p>
      <w:pPr>
        <w:pStyle w:val="Heading3"/>
      </w:pPr>
      <w:r>
        <w:t>PROMPT 2 — Make criteria testable</w:t>
      </w:r>
    </w:p>
    <w:p>
      <w:pPr>
        <w:spacing w:after="20"/>
        <w:ind w:left="259"/>
      </w:pPr>
      <w:r>
        <w:rPr>
          <w:rFonts w:ascii="Consolas" w:hAnsi="Consolas"/>
          <w:sz w:val="16"/>
        </w:rPr>
        <w:t>Review the supplied requirements and acceptance criteria.</w:t>
      </w:r>
    </w:p>
    <w:p>
      <w:pPr>
        <w:spacing w:after="20"/>
        <w:ind w:left="259"/>
      </w:pPr>
      <w:r>
        <w:rPr>
          <w:rFonts w:ascii="Consolas" w:hAnsi="Consolas"/>
          <w:sz w:val="16"/>
        </w:rPr>
        <w:t>For each criterion, preserve its ID, summarize the rule, decide whether it is measurable/testable, identify observable outcomes and required data, and list missing rules that prevent an exact expected result.</w:t>
      </w:r>
    </w:p>
    <w:p>
      <w:pPr>
        <w:spacing w:after="20"/>
        <w:ind w:left="259"/>
      </w:pPr>
      <w:r>
        <w:rPr>
          <w:rFonts w:ascii="Consolas" w:hAnsi="Consolas"/>
          <w:sz w:val="16"/>
        </w:rPr>
        <w:t>Propose clarification questions without silently choosing answers. Distinguish confirmed requirements from assumptions.</w:t>
      </w:r>
    </w:p>
    <w:p>
      <w:pPr>
        <w:spacing w:after="20"/>
        <w:ind w:left="259"/>
      </w:pPr>
      <w:r>
        <w:rPr>
          <w:rFonts w:ascii="Consolas" w:hAnsi="Consolas"/>
          <w:sz w:val="16"/>
        </w:rPr>
        <w:t>Do not change files. Return a criterion-by-criterion review table and prioritized product-owner questions.</w:t>
      </w:r>
    </w:p>
    <w:p/>
    <w:p>
      <w:pPr>
        <w:pStyle w:val="Heading2"/>
      </w:pPr>
      <w:r>
        <w:t>Step 3 — Ground generation in existing test assets (25–40 min)</w:t>
      </w:r>
    </w:p>
    <w:p>
      <w:r>
        <w:t>Generate complementary tests, not merely more tests. Ask Devin to compare each candidate with existing tests and explain what new risk, boundary, assertion or integration path it adds.</w:t>
      </w:r>
    </w:p>
    <w:p>
      <w:pPr>
        <w:pStyle w:val="ListBullet"/>
        <w:spacing w:after="40"/>
      </w:pPr>
      <w:r>
        <w:t>Inspect assertions, not just test filenames or names.</w:t>
      </w:r>
    </w:p>
    <w:p>
      <w:pPr>
        <w:pStyle w:val="ListBullet"/>
        <w:spacing w:after="40"/>
      </w:pPr>
      <w:r>
        <w:t>Reuse existing fixtures and factories where appropriate.</w:t>
      </w:r>
    </w:p>
    <w:p>
      <w:pPr>
        <w:pStyle w:val="ListBullet"/>
        <w:spacing w:after="40"/>
      </w:pPr>
      <w:r>
        <w:t>Classify coverage as confirmed by an inspected test, suggested by a name only, or unknown.</w:t>
      </w:r>
    </w:p>
    <w:p>
      <w:pPr>
        <w:pStyle w:val="ListBullet"/>
        <w:spacing w:after="40"/>
      </w:pPr>
      <w:r>
        <w:t>Mark a candidate duplicate if it covers the same behavior and assertions without a meaningful new condition.</w:t>
      </w:r>
    </w:p>
    <w:p>
      <w:pPr>
        <w:pStyle w:val="Heading3"/>
      </w:pPr>
      <w:r>
        <w:t>PROMPT 3 — Existing-asset and duplication analysis</w:t>
      </w:r>
    </w:p>
    <w:p>
      <w:pPr>
        <w:spacing w:after="20"/>
        <w:ind w:left="259"/>
      </w:pPr>
      <w:r>
        <w:rPr>
          <w:rFonts w:ascii="Consolas" w:hAnsi="Consolas"/>
          <w:sz w:val="16"/>
        </w:rPr>
        <w:t>Analyze current tests for the points scheme.</w:t>
      </w:r>
    </w:p>
    <w:p>
      <w:pPr>
        <w:spacing w:after="20"/>
        <w:ind w:left="259"/>
      </w:pPr>
      <w:r>
        <w:rPr>
          <w:rFonts w:ascii="Consolas" w:hAnsi="Consolas"/>
          <w:sz w:val="16"/>
        </w:rPr>
        <w:t>Create a table with criterion, existing test path/name, behavior actually asserted, confidence in coverage, potential gap and recommended action.</w:t>
      </w:r>
    </w:p>
    <w:p>
      <w:pPr>
        <w:spacing w:after="20"/>
        <w:ind w:left="259"/>
      </w:pPr>
      <w:r>
        <w:rPr>
          <w:rFonts w:ascii="Consolas" w:hAnsi="Consolas"/>
          <w:sz w:val="16"/>
        </w:rPr>
        <w:t>For each proposed scenario classify it as new coverage, existing coverage sufficient, possible duplicate/manual review, or blocked by missing requirement.</w:t>
      </w:r>
    </w:p>
    <w:p>
      <w:pPr>
        <w:spacing w:after="20"/>
        <w:ind w:left="259"/>
      </w:pPr>
      <w:r>
        <w:rPr>
          <w:rFonts w:ascii="Consolas" w:hAnsi="Consolas"/>
          <w:sz w:val="16"/>
        </w:rPr>
        <w:t>Inspect assertions and fixtures; do not infer coverage from names alone. Do not edit files. Cite actual paths/test names; mark inaccessible assets unverified.</w:t>
      </w:r>
    </w:p>
    <w:p/>
    <w:p>
      <w:pPr>
        <w:pStyle w:val="Heading2"/>
      </w:pPr>
      <w:r>
        <w:t>Step 4 — Draft the governed test plan (40–60 min)</w:t>
      </w:r>
    </w:p>
    <w:p>
      <w:r>
        <w:t>The plan establishes what will be tested, why, how, where, and when the test effort is considered complete.</w:t>
      </w:r>
    </w:p>
    <w:tbl>
      <w:tblPr>
        <w:tblStyle w:val="TableGrid"/>
        <w:tblW w:type="auto" w:w="0"/>
        <w:tblLook w:firstColumn="1" w:firstRow="1" w:lastColumn="0" w:lastRow="0" w:noHBand="0" w:noVBand="1" w:val="04A0"/>
      </w:tblPr>
      <w:tblGrid>
        <w:gridCol w:w="5040"/>
        <w:gridCol w:w="5040"/>
      </w:tblGrid>
      <w:tr>
        <w:tc>
          <w:tcPr>
            <w:tcW w:type="dxa" w:w="5040"/>
            <w:shd w:fill="17365D"/>
          </w:tcPr>
          <w:p>
            <w:r>
              <w:rPr>
                <w:b/>
                <w:color w:val="FFFFFF"/>
                <w:sz w:val="16"/>
              </w:rPr>
              <w:t>Plan section</w:t>
            </w:r>
          </w:p>
        </w:tc>
        <w:tc>
          <w:tcPr>
            <w:tcW w:type="dxa" w:w="5040"/>
            <w:shd w:fill="17365D"/>
          </w:tcPr>
          <w:p>
            <w:r>
              <w:rPr>
                <w:b/>
                <w:color w:val="FFFFFF"/>
                <w:sz w:val="16"/>
              </w:rPr>
              <w:t>What Devin should produce</w:t>
            </w:r>
          </w:p>
        </w:tc>
      </w:tr>
      <w:tr>
        <w:tc>
          <w:tcPr>
            <w:tcW w:type="dxa" w:w="5040"/>
          </w:tcPr>
          <w:p>
            <w:pPr>
              <w:spacing w:after="0"/>
            </w:pPr>
            <w:r>
              <w:rPr>
                <w:sz w:val="16"/>
              </w:rPr>
              <w:t>Objective/scope</w:t>
            </w:r>
          </w:p>
        </w:tc>
        <w:tc>
          <w:tcPr>
            <w:tcW w:type="dxa" w:w="5040"/>
          </w:tcPr>
          <w:p>
            <w:pPr>
              <w:spacing w:after="0"/>
            </w:pPr>
            <w:r>
              <w:rPr>
                <w:sz w:val="16"/>
              </w:rPr>
              <w:t>Included behavior and explicit exclusions.</w:t>
            </w:r>
          </w:p>
        </w:tc>
      </w:tr>
      <w:tr>
        <w:tc>
          <w:tcPr>
            <w:tcW w:type="dxa" w:w="5040"/>
          </w:tcPr>
          <w:p>
            <w:pPr>
              <w:spacing w:after="0"/>
            </w:pPr>
            <w:r>
              <w:rPr>
                <w:sz w:val="16"/>
              </w:rPr>
              <w:t>Requirements</w:t>
            </w:r>
          </w:p>
        </w:tc>
        <w:tc>
          <w:tcPr>
            <w:tcW w:type="dxa" w:w="5040"/>
          </w:tcPr>
          <w:p>
            <w:pPr>
              <w:spacing w:after="0"/>
            </w:pPr>
            <w:r>
              <w:rPr>
                <w:sz w:val="16"/>
              </w:rPr>
              <w:t>Approved acceptance criteria and IDs.</w:t>
            </w:r>
          </w:p>
        </w:tc>
      </w:tr>
      <w:tr>
        <w:tc>
          <w:tcPr>
            <w:tcW w:type="dxa" w:w="5040"/>
          </w:tcPr>
          <w:p>
            <w:pPr>
              <w:spacing w:after="0"/>
            </w:pPr>
            <w:r>
              <w:rPr>
                <w:sz w:val="16"/>
              </w:rPr>
              <w:t>Risk assessment</w:t>
            </w:r>
          </w:p>
        </w:tc>
        <w:tc>
          <w:tcPr>
            <w:tcW w:type="dxa" w:w="5040"/>
          </w:tcPr>
          <w:p>
            <w:pPr>
              <w:spacing w:after="0"/>
            </w:pPr>
            <w:r>
              <w:rPr>
                <w:sz w:val="16"/>
              </w:rPr>
              <w:t>Impact × likelihood with rationale.</w:t>
            </w:r>
          </w:p>
        </w:tc>
      </w:tr>
      <w:tr>
        <w:tc>
          <w:tcPr>
            <w:tcW w:type="dxa" w:w="5040"/>
          </w:tcPr>
          <w:p>
            <w:pPr>
              <w:spacing w:after="0"/>
            </w:pPr>
            <w:r>
              <w:rPr>
                <w:sz w:val="16"/>
              </w:rPr>
              <w:t>Test levels</w:t>
            </w:r>
          </w:p>
        </w:tc>
        <w:tc>
          <w:tcPr>
            <w:tcW w:type="dxa" w:w="5040"/>
          </w:tcPr>
          <w:p>
            <w:pPr>
              <w:spacing w:after="0"/>
            </w:pPr>
            <w:r>
              <w:rPr>
                <w:sz w:val="16"/>
              </w:rPr>
              <w:t>Unit, API/integration, and end-to-end where supported.</w:t>
            </w:r>
          </w:p>
        </w:tc>
      </w:tr>
      <w:tr>
        <w:tc>
          <w:tcPr>
            <w:tcW w:type="dxa" w:w="5040"/>
          </w:tcPr>
          <w:p>
            <w:pPr>
              <w:spacing w:after="0"/>
            </w:pPr>
            <w:r>
              <w:rPr>
                <w:sz w:val="16"/>
              </w:rPr>
              <w:t>Test techniques</w:t>
            </w:r>
          </w:p>
        </w:tc>
        <w:tc>
          <w:tcPr>
            <w:tcW w:type="dxa" w:w="5040"/>
          </w:tcPr>
          <w:p>
            <w:pPr>
              <w:spacing w:after="0"/>
            </w:pPr>
            <w:r>
              <w:rPr>
                <w:sz w:val="16"/>
              </w:rPr>
              <w:t>Equivalence partitioning, boundary-value, negative, state-transition, idempotency and concurrency testing where relevant.</w:t>
            </w:r>
          </w:p>
        </w:tc>
      </w:tr>
      <w:tr>
        <w:tc>
          <w:tcPr>
            <w:tcW w:type="dxa" w:w="5040"/>
          </w:tcPr>
          <w:p>
            <w:pPr>
              <w:spacing w:after="0"/>
            </w:pPr>
            <w:r>
              <w:rPr>
                <w:sz w:val="16"/>
              </w:rPr>
              <w:t>Environment/data</w:t>
            </w:r>
          </w:p>
        </w:tc>
        <w:tc>
          <w:tcPr>
            <w:tcW w:type="dxa" w:w="5040"/>
          </w:tcPr>
          <w:p>
            <w:pPr>
              <w:spacing w:after="0"/>
            </w:pPr>
            <w:r>
              <w:rPr>
                <w:sz w:val="16"/>
              </w:rPr>
              <w:t>Dependencies, configuration, synthetic fixtures, isolation and cleanup.</w:t>
            </w:r>
          </w:p>
        </w:tc>
      </w:tr>
      <w:tr>
        <w:tc>
          <w:tcPr>
            <w:tcW w:type="dxa" w:w="5040"/>
          </w:tcPr>
          <w:p>
            <w:pPr>
              <w:spacing w:after="0"/>
            </w:pPr>
            <w:r>
              <w:rPr>
                <w:sz w:val="16"/>
              </w:rPr>
              <w:t>Entry criteria</w:t>
            </w:r>
          </w:p>
        </w:tc>
        <w:tc>
          <w:tcPr>
            <w:tcW w:type="dxa" w:w="5040"/>
          </w:tcPr>
          <w:p>
            <w:pPr>
              <w:spacing w:after="0"/>
            </w:pPr>
            <w:r>
              <w:rPr>
                <w:sz w:val="16"/>
              </w:rPr>
              <w:t>Requirements available, environment ready, fixtures/dependencies usable.</w:t>
            </w:r>
          </w:p>
        </w:tc>
      </w:tr>
      <w:tr>
        <w:tc>
          <w:tcPr>
            <w:tcW w:type="dxa" w:w="5040"/>
          </w:tcPr>
          <w:p>
            <w:pPr>
              <w:spacing w:after="0"/>
            </w:pPr>
            <w:r>
              <w:rPr>
                <w:sz w:val="16"/>
              </w:rPr>
              <w:t>Exit criteria</w:t>
            </w:r>
          </w:p>
        </w:tc>
        <w:tc>
          <w:tcPr>
            <w:tcW w:type="dxa" w:w="5040"/>
          </w:tcPr>
          <w:p>
            <w:pPr>
              <w:spacing w:after="0"/>
            </w:pPr>
            <w:r>
              <w:rPr>
                <w:sz w:val="16"/>
              </w:rPr>
              <w:t>Required cases executed, critical failures triaged, gaps and residual risks reported.</w:t>
            </w:r>
          </w:p>
        </w:tc>
      </w:tr>
      <w:tr>
        <w:tc>
          <w:tcPr>
            <w:tcW w:type="dxa" w:w="5040"/>
          </w:tcPr>
          <w:p>
            <w:pPr>
              <w:spacing w:after="0"/>
            </w:pPr>
            <w:r>
              <w:rPr>
                <w:sz w:val="16"/>
              </w:rPr>
              <w:t>Defect handling</w:t>
            </w:r>
          </w:p>
        </w:tc>
        <w:tc>
          <w:tcPr>
            <w:tcW w:type="dxa" w:w="5040"/>
          </w:tcPr>
          <w:p>
            <w:pPr>
              <w:spacing w:after="0"/>
            </w:pPr>
            <w:r>
              <w:rPr>
                <w:sz w:val="16"/>
              </w:rPr>
              <w:t>Reproduction, expected vs actual, logs, severity and linked criterion.</w:t>
            </w:r>
          </w:p>
        </w:tc>
      </w:tr>
      <w:tr>
        <w:tc>
          <w:tcPr>
            <w:tcW w:type="dxa" w:w="5040"/>
          </w:tcPr>
          <w:p>
            <w:pPr>
              <w:spacing w:after="0"/>
            </w:pPr>
            <w:r>
              <w:rPr>
                <w:sz w:val="16"/>
              </w:rPr>
              <w:t>Governance</w:t>
            </w:r>
          </w:p>
        </w:tc>
        <w:tc>
          <w:tcPr>
            <w:tcW w:type="dxa" w:w="5040"/>
          </w:tcPr>
          <w:p>
            <w:pPr>
              <w:spacing w:after="0"/>
            </w:pPr>
            <w:r>
              <w:rPr>
                <w:sz w:val="16"/>
              </w:rPr>
              <w:t>Review/approval gate, traceability, duplicate check, evidence and change history.</w:t>
            </w:r>
          </w:p>
        </w:tc>
      </w:tr>
    </w:tbl>
    <w:p/>
    <w:p>
      <w:pPr>
        <w:pStyle w:val="Heading3"/>
      </w:pPr>
      <w:r>
        <w:t>PROMPT 4 — Governed test plan</w:t>
      </w:r>
    </w:p>
    <w:p>
      <w:pPr>
        <w:spacing w:after="20"/>
        <w:ind w:left="259"/>
      </w:pPr>
      <w:r>
        <w:rPr>
          <w:rFonts w:ascii="Consolas" w:hAnsi="Consolas"/>
          <w:sz w:val="16"/>
        </w:rPr>
        <w:t>Using confirmed requirements and repository inventory, draft a governed test plan for the points scheme.</w:t>
      </w:r>
    </w:p>
    <w:p>
      <w:pPr>
        <w:spacing w:after="20"/>
        <w:ind w:left="259"/>
      </w:pPr>
      <w:r>
        <w:rPr>
          <w:rFonts w:ascii="Consolas" w:hAnsi="Consolas"/>
          <w:sz w:val="16"/>
        </w:rPr>
        <w:t>Include objectives, scope/exclusions, criterion references, risk-based priorities, test levels, techniques, environment/dependencies, synthetic data, entry/exit criteria, defect handling, reporting, traceability and approval gates.</w:t>
      </w:r>
    </w:p>
    <w:p>
      <w:pPr>
        <w:spacing w:after="20"/>
        <w:ind w:left="259"/>
      </w:pPr>
      <w:r>
        <w:rPr>
          <w:rFonts w:ascii="Consolas" w:hAnsi="Consolas"/>
          <w:sz w:val="16"/>
        </w:rPr>
        <w:t>List unresolved questions separately. Do not invent requirements or change files. Every activity must support an objective, risk or criterion.</w:t>
      </w:r>
    </w:p>
    <w:p>
      <w:pPr>
        <w:spacing w:after="20"/>
        <w:ind w:left="259"/>
      </w:pPr>
      <w:r>
        <w:rPr>
          <w:rFonts w:ascii="Consolas" w:hAnsi="Consolas"/>
          <w:sz w:val="16"/>
        </w:rPr>
        <w:t>Deliver a reviewable Markdown plan and wait for approval before implementation changes.</w:t>
      </w:r>
    </w:p>
    <w:p/>
    <w:p>
      <w:r>
        <w:t>Approval gate: review scope, open questions, risk coverage, and entry/exit criteria before proceeding.</w:t>
      </w:r>
    </w:p>
    <w:p>
      <w:pPr>
        <w:pStyle w:val="Heading2"/>
      </w:pPr>
      <w:r>
        <w:t>Step 5 — Design boundary and negative paths (60–85 min)</w:t>
      </w:r>
    </w:p>
    <w:p>
      <w:r>
        <w:t>Use boundary-value analysis only after the actual boundary is confirmed. If limits are unknown, ask for them rather than presenting guessed values as requirements.</w:t>
      </w:r>
    </w:p>
    <w:p>
      <w:pPr>
        <w:pStyle w:val="Heading3"/>
      </w:pPr>
      <w:r>
        <w:t>5.1 Boundary-value example (fictional only)</w:t>
      </w:r>
    </w:p>
    <w:p>
      <w:r>
        <w:t>For demonstration only, assume an approved fee range of ₹100–₹5,000 inclusive. Replace these values with the real approved range.</w:t>
      </w:r>
    </w:p>
    <w:tbl>
      <w:tblPr>
        <w:tblStyle w:val="TableGrid"/>
        <w:tblW w:type="auto" w:w="0"/>
        <w:tblLook w:firstColumn="1" w:firstRow="1" w:lastColumn="0" w:lastRow="0" w:noHBand="0" w:noVBand="1" w:val="04A0"/>
      </w:tblPr>
      <w:tblGrid>
        <w:gridCol w:w="3360"/>
        <w:gridCol w:w="3360"/>
        <w:gridCol w:w="3360"/>
      </w:tblGrid>
      <w:tr>
        <w:tc>
          <w:tcPr>
            <w:tcW w:type="dxa" w:w="3360"/>
            <w:shd w:fill="17365D"/>
          </w:tcPr>
          <w:p>
            <w:r>
              <w:rPr>
                <w:b/>
                <w:color w:val="FFFFFF"/>
                <w:sz w:val="16"/>
              </w:rPr>
              <w:t>Case</w:t>
            </w:r>
          </w:p>
        </w:tc>
        <w:tc>
          <w:tcPr>
            <w:tcW w:type="dxa" w:w="3360"/>
            <w:shd w:fill="17365D"/>
          </w:tcPr>
          <w:p>
            <w:r>
              <w:rPr>
                <w:b/>
                <w:color w:val="FFFFFF"/>
                <w:sz w:val="16"/>
              </w:rPr>
              <w:t>Fee</w:t>
            </w:r>
          </w:p>
        </w:tc>
        <w:tc>
          <w:tcPr>
            <w:tcW w:type="dxa" w:w="3360"/>
            <w:shd w:fill="17365D"/>
          </w:tcPr>
          <w:p>
            <w:r>
              <w:rPr>
                <w:b/>
                <w:color w:val="FFFFFF"/>
                <w:sz w:val="16"/>
              </w:rPr>
              <w:t>Expected fee validation</w:t>
            </w:r>
          </w:p>
        </w:tc>
      </w:tr>
      <w:tr>
        <w:tc>
          <w:tcPr>
            <w:tcW w:type="dxa" w:w="3360"/>
          </w:tcPr>
          <w:p>
            <w:pPr>
              <w:spacing w:after="0"/>
            </w:pPr>
            <w:r>
              <w:rPr>
                <w:sz w:val="16"/>
              </w:rPr>
              <w:t>PTS-B01</w:t>
            </w:r>
          </w:p>
        </w:tc>
        <w:tc>
          <w:tcPr>
            <w:tcW w:type="dxa" w:w="3360"/>
          </w:tcPr>
          <w:p>
            <w:pPr>
              <w:spacing w:after="0"/>
            </w:pPr>
            <w:r>
              <w:rPr>
                <w:sz w:val="16"/>
              </w:rPr>
              <w:t>₹99.99</w:t>
            </w:r>
          </w:p>
        </w:tc>
        <w:tc>
          <w:tcPr>
            <w:tcW w:type="dxa" w:w="3360"/>
          </w:tcPr>
          <w:p>
            <w:pPr>
              <w:spacing w:after="0"/>
            </w:pPr>
            <w:r>
              <w:rPr>
                <w:sz w:val="16"/>
              </w:rPr>
              <w:t>Reject: below minimum</w:t>
            </w:r>
          </w:p>
        </w:tc>
      </w:tr>
      <w:tr>
        <w:tc>
          <w:tcPr>
            <w:tcW w:type="dxa" w:w="3360"/>
          </w:tcPr>
          <w:p>
            <w:pPr>
              <w:spacing w:after="0"/>
            </w:pPr>
            <w:r>
              <w:rPr>
                <w:sz w:val="16"/>
              </w:rPr>
              <w:t>PTS-B02</w:t>
            </w:r>
          </w:p>
        </w:tc>
        <w:tc>
          <w:tcPr>
            <w:tcW w:type="dxa" w:w="3360"/>
          </w:tcPr>
          <w:p>
            <w:pPr>
              <w:spacing w:after="0"/>
            </w:pPr>
            <w:r>
              <w:rPr>
                <w:sz w:val="16"/>
              </w:rPr>
              <w:t>₹100.00</w:t>
            </w:r>
          </w:p>
        </w:tc>
        <w:tc>
          <w:tcPr>
            <w:tcW w:type="dxa" w:w="3360"/>
          </w:tcPr>
          <w:p>
            <w:pPr>
              <w:spacing w:after="0"/>
            </w:pPr>
            <w:r>
              <w:rPr>
                <w:sz w:val="16"/>
              </w:rPr>
              <w:t>Accept fee validation</w:t>
            </w:r>
          </w:p>
        </w:tc>
      </w:tr>
      <w:tr>
        <w:tc>
          <w:tcPr>
            <w:tcW w:type="dxa" w:w="3360"/>
          </w:tcPr>
          <w:p>
            <w:pPr>
              <w:spacing w:after="0"/>
            </w:pPr>
            <w:r>
              <w:rPr>
                <w:sz w:val="16"/>
              </w:rPr>
              <w:t>PTS-B03</w:t>
            </w:r>
          </w:p>
        </w:tc>
        <w:tc>
          <w:tcPr>
            <w:tcW w:type="dxa" w:w="3360"/>
          </w:tcPr>
          <w:p>
            <w:pPr>
              <w:spacing w:after="0"/>
            </w:pPr>
            <w:r>
              <w:rPr>
                <w:sz w:val="16"/>
              </w:rPr>
              <w:t>₹100.01</w:t>
            </w:r>
          </w:p>
        </w:tc>
        <w:tc>
          <w:tcPr>
            <w:tcW w:type="dxa" w:w="3360"/>
          </w:tcPr>
          <w:p>
            <w:pPr>
              <w:spacing w:after="0"/>
            </w:pPr>
            <w:r>
              <w:rPr>
                <w:sz w:val="16"/>
              </w:rPr>
              <w:t>Accept fee validation</w:t>
            </w:r>
          </w:p>
        </w:tc>
      </w:tr>
      <w:tr>
        <w:tc>
          <w:tcPr>
            <w:tcW w:type="dxa" w:w="3360"/>
          </w:tcPr>
          <w:p>
            <w:pPr>
              <w:spacing w:after="0"/>
            </w:pPr>
            <w:r>
              <w:rPr>
                <w:sz w:val="16"/>
              </w:rPr>
              <w:t>PTS-B04</w:t>
            </w:r>
          </w:p>
        </w:tc>
        <w:tc>
          <w:tcPr>
            <w:tcW w:type="dxa" w:w="3360"/>
          </w:tcPr>
          <w:p>
            <w:pPr>
              <w:spacing w:after="0"/>
            </w:pPr>
            <w:r>
              <w:rPr>
                <w:sz w:val="16"/>
              </w:rPr>
              <w:t>₹4,999.99</w:t>
            </w:r>
          </w:p>
        </w:tc>
        <w:tc>
          <w:tcPr>
            <w:tcW w:type="dxa" w:w="3360"/>
          </w:tcPr>
          <w:p>
            <w:pPr>
              <w:spacing w:after="0"/>
            </w:pPr>
            <w:r>
              <w:rPr>
                <w:sz w:val="16"/>
              </w:rPr>
              <w:t>Accept fee validation</w:t>
            </w:r>
          </w:p>
        </w:tc>
      </w:tr>
      <w:tr>
        <w:tc>
          <w:tcPr>
            <w:tcW w:type="dxa" w:w="3360"/>
          </w:tcPr>
          <w:p>
            <w:pPr>
              <w:spacing w:after="0"/>
            </w:pPr>
            <w:r>
              <w:rPr>
                <w:sz w:val="16"/>
              </w:rPr>
              <w:t>PTS-B05</w:t>
            </w:r>
          </w:p>
        </w:tc>
        <w:tc>
          <w:tcPr>
            <w:tcW w:type="dxa" w:w="3360"/>
          </w:tcPr>
          <w:p>
            <w:pPr>
              <w:spacing w:after="0"/>
            </w:pPr>
            <w:r>
              <w:rPr>
                <w:sz w:val="16"/>
              </w:rPr>
              <w:t>₹5,000.00</w:t>
            </w:r>
          </w:p>
        </w:tc>
        <w:tc>
          <w:tcPr>
            <w:tcW w:type="dxa" w:w="3360"/>
          </w:tcPr>
          <w:p>
            <w:pPr>
              <w:spacing w:after="0"/>
            </w:pPr>
            <w:r>
              <w:rPr>
                <w:sz w:val="16"/>
              </w:rPr>
              <w:t>Accept fee validation</w:t>
            </w:r>
          </w:p>
        </w:tc>
      </w:tr>
      <w:tr>
        <w:tc>
          <w:tcPr>
            <w:tcW w:type="dxa" w:w="3360"/>
          </w:tcPr>
          <w:p>
            <w:pPr>
              <w:spacing w:after="0"/>
            </w:pPr>
            <w:r>
              <w:rPr>
                <w:sz w:val="16"/>
              </w:rPr>
              <w:t>PTS-B06</w:t>
            </w:r>
          </w:p>
        </w:tc>
        <w:tc>
          <w:tcPr>
            <w:tcW w:type="dxa" w:w="3360"/>
          </w:tcPr>
          <w:p>
            <w:pPr>
              <w:spacing w:after="0"/>
            </w:pPr>
            <w:r>
              <w:rPr>
                <w:sz w:val="16"/>
              </w:rPr>
              <w:t>₹5,000.01</w:t>
            </w:r>
          </w:p>
        </w:tc>
        <w:tc>
          <w:tcPr>
            <w:tcW w:type="dxa" w:w="3360"/>
          </w:tcPr>
          <w:p>
            <w:pPr>
              <w:spacing w:after="0"/>
            </w:pPr>
            <w:r>
              <w:rPr>
                <w:sz w:val="16"/>
              </w:rPr>
              <w:t>Reject: above maximum</w:t>
            </w:r>
          </w:p>
        </w:tc>
      </w:tr>
      <w:tr>
        <w:tc>
          <w:tcPr>
            <w:tcW w:type="dxa" w:w="3360"/>
          </w:tcPr>
          <w:p>
            <w:pPr>
              <w:spacing w:after="0"/>
            </w:pPr>
            <w:r>
              <w:rPr>
                <w:sz w:val="16"/>
              </w:rPr>
              <w:t>PTS-B07</w:t>
            </w:r>
          </w:p>
        </w:tc>
        <w:tc>
          <w:tcPr>
            <w:tcW w:type="dxa" w:w="3360"/>
          </w:tcPr>
          <w:p>
            <w:pPr>
              <w:spacing w:after="0"/>
            </w:pPr>
            <w:r>
              <w:rPr>
                <w:sz w:val="16"/>
              </w:rPr>
              <w:t>₹0.00</w:t>
            </w:r>
          </w:p>
        </w:tc>
        <w:tc>
          <w:tcPr>
            <w:tcW w:type="dxa" w:w="3360"/>
          </w:tcPr>
          <w:p>
            <w:pPr>
              <w:spacing w:after="0"/>
            </w:pPr>
            <w:r>
              <w:rPr>
                <w:sz w:val="16"/>
              </w:rPr>
              <w:t>Reject if zero is outside approved range</w:t>
            </w:r>
          </w:p>
        </w:tc>
      </w:tr>
      <w:tr>
        <w:tc>
          <w:tcPr>
            <w:tcW w:type="dxa" w:w="3360"/>
          </w:tcPr>
          <w:p>
            <w:pPr>
              <w:spacing w:after="0"/>
            </w:pPr>
            <w:r>
              <w:rPr>
                <w:sz w:val="16"/>
              </w:rPr>
              <w:t>PTS-B08</w:t>
            </w:r>
          </w:p>
        </w:tc>
        <w:tc>
          <w:tcPr>
            <w:tcW w:type="dxa" w:w="3360"/>
          </w:tcPr>
          <w:p>
            <w:pPr>
              <w:spacing w:after="0"/>
            </w:pPr>
            <w:r>
              <w:rPr>
                <w:sz w:val="16"/>
              </w:rPr>
              <w:t>-₹100.00</w:t>
            </w:r>
          </w:p>
        </w:tc>
        <w:tc>
          <w:tcPr>
            <w:tcW w:type="dxa" w:w="3360"/>
          </w:tcPr>
          <w:p>
            <w:pPr>
              <w:spacing w:after="0"/>
            </w:pPr>
            <w:r>
              <w:rPr>
                <w:sz w:val="16"/>
              </w:rPr>
              <w:t>Reject negative fee</w:t>
            </w:r>
          </w:p>
        </w:tc>
      </w:tr>
    </w:tbl>
    <w:p/>
    <w:p>
      <w:r>
        <w:t>Passing fee validation does not mean points should be awarded. Tests must also validate payment status, appointment eligibility, the approved formula and duplicate-processing behavior.</w:t>
      </w:r>
    </w:p>
    <w:p>
      <w:pPr>
        <w:pStyle w:val="Heading3"/>
      </w:pPr>
      <w:r>
        <w:t>5.2 Scenario groups</w:t>
      </w:r>
    </w:p>
    <w:tbl>
      <w:tblPr>
        <w:tblStyle w:val="TableGrid"/>
        <w:tblW w:type="auto" w:w="0"/>
        <w:tblLook w:firstColumn="1" w:firstRow="1" w:lastColumn="0" w:lastRow="0" w:noHBand="0" w:noVBand="1" w:val="04A0"/>
      </w:tblPr>
      <w:tblGrid>
        <w:gridCol w:w="3360"/>
        <w:gridCol w:w="3360"/>
        <w:gridCol w:w="3360"/>
      </w:tblGrid>
      <w:tr>
        <w:tc>
          <w:tcPr>
            <w:tcW w:type="dxa" w:w="3360"/>
            <w:shd w:fill="17365D"/>
          </w:tcPr>
          <w:p>
            <w:r>
              <w:rPr>
                <w:b/>
                <w:color w:val="FFFFFF"/>
                <w:sz w:val="16"/>
              </w:rPr>
              <w:t>Area</w:t>
            </w:r>
          </w:p>
        </w:tc>
        <w:tc>
          <w:tcPr>
            <w:tcW w:type="dxa" w:w="3360"/>
            <w:shd w:fill="17365D"/>
          </w:tcPr>
          <w:p>
            <w:r>
              <w:rPr>
                <w:b/>
                <w:color w:val="FFFFFF"/>
                <w:sz w:val="16"/>
              </w:rPr>
              <w:t>Examples</w:t>
            </w:r>
          </w:p>
        </w:tc>
        <w:tc>
          <w:tcPr>
            <w:tcW w:type="dxa" w:w="3360"/>
            <w:shd w:fill="17365D"/>
          </w:tcPr>
          <w:p>
            <w:r>
              <w:rPr>
                <w:b/>
                <w:color w:val="FFFFFF"/>
                <w:sz w:val="16"/>
              </w:rPr>
              <w:t>Expected evidence</w:t>
            </w:r>
          </w:p>
        </w:tc>
      </w:tr>
      <w:tr>
        <w:tc>
          <w:tcPr>
            <w:tcW w:type="dxa" w:w="3360"/>
          </w:tcPr>
          <w:p>
            <w:pPr>
              <w:spacing w:after="0"/>
            </w:pPr>
            <w:r>
              <w:rPr>
                <w:sz w:val="16"/>
              </w:rPr>
              <w:t>Fee boundaries</w:t>
            </w:r>
          </w:p>
        </w:tc>
        <w:tc>
          <w:tcPr>
            <w:tcW w:type="dxa" w:w="3360"/>
          </w:tcPr>
          <w:p>
            <w:pPr>
              <w:spacing w:after="0"/>
            </w:pPr>
            <w:r>
              <w:rPr>
                <w:sz w:val="16"/>
              </w:rPr>
              <w:t>Minimum−smallest unit, minimum, minimum+unit; maximum−unit, maximum, maximum+unit</w:t>
            </w:r>
          </w:p>
        </w:tc>
        <w:tc>
          <w:tcPr>
            <w:tcW w:type="dxa" w:w="3360"/>
          </w:tcPr>
          <w:p>
            <w:pPr>
              <w:spacing w:after="0"/>
            </w:pPr>
            <w:r>
              <w:rPr>
                <w:sz w:val="16"/>
              </w:rPr>
              <w:t>Validation response; no invalid side effects.</w:t>
            </w:r>
          </w:p>
        </w:tc>
      </w:tr>
      <w:tr>
        <w:tc>
          <w:tcPr>
            <w:tcW w:type="dxa" w:w="3360"/>
          </w:tcPr>
          <w:p>
            <w:pPr>
              <w:spacing w:after="0"/>
            </w:pPr>
            <w:r>
              <w:rPr>
                <w:sz w:val="16"/>
              </w:rPr>
              <w:t>Invalid values</w:t>
            </w:r>
          </w:p>
        </w:tc>
        <w:tc>
          <w:tcPr>
            <w:tcW w:type="dxa" w:w="3360"/>
          </w:tcPr>
          <w:p>
            <w:pPr>
              <w:spacing w:after="0"/>
            </w:pPr>
            <w:r>
              <w:rPr>
                <w:sz w:val="16"/>
              </w:rPr>
              <w:t>Missing, null, zero, negative, malformed, unsupported precision/type</w:t>
            </w:r>
          </w:p>
        </w:tc>
        <w:tc>
          <w:tcPr>
            <w:tcW w:type="dxa" w:w="3360"/>
          </w:tcPr>
          <w:p>
            <w:pPr>
              <w:spacing w:after="0"/>
            </w:pPr>
            <w:r>
              <w:rPr>
                <w:sz w:val="16"/>
              </w:rPr>
              <w:t>Contract-compliant rejection and no reward side effects.</w:t>
            </w:r>
          </w:p>
        </w:tc>
      </w:tr>
      <w:tr>
        <w:tc>
          <w:tcPr>
            <w:tcW w:type="dxa" w:w="3360"/>
          </w:tcPr>
          <w:p>
            <w:pPr>
              <w:spacing w:after="0"/>
            </w:pPr>
            <w:r>
              <w:rPr>
                <w:sz w:val="16"/>
              </w:rPr>
              <w:t>Calculation</w:t>
            </w:r>
          </w:p>
        </w:tc>
        <w:tc>
          <w:tcPr>
            <w:tcW w:type="dxa" w:w="3360"/>
          </w:tcPr>
          <w:p>
            <w:pPr>
              <w:spacing w:after="0"/>
            </w:pPr>
            <w:r>
              <w:rPr>
                <w:sz w:val="16"/>
              </w:rPr>
              <w:t>Values around points/rounding thresholds</w:t>
            </w:r>
          </w:p>
        </w:tc>
        <w:tc>
          <w:tcPr>
            <w:tcW w:type="dxa" w:w="3360"/>
          </w:tcPr>
          <w:p>
            <w:pPr>
              <w:spacing w:after="0"/>
            </w:pPr>
            <w:r>
              <w:rPr>
                <w:sz w:val="16"/>
              </w:rPr>
              <w:t>Exact points derived from approved formula.</w:t>
            </w:r>
          </w:p>
        </w:tc>
      </w:tr>
      <w:tr>
        <w:tc>
          <w:tcPr>
            <w:tcW w:type="dxa" w:w="3360"/>
          </w:tcPr>
          <w:p>
            <w:pPr>
              <w:spacing w:after="0"/>
            </w:pPr>
            <w:r>
              <w:rPr>
                <w:sz w:val="16"/>
              </w:rPr>
              <w:t>Payment/eligibility</w:t>
            </w:r>
          </w:p>
        </w:tc>
        <w:tc>
          <w:tcPr>
            <w:tcW w:type="dxa" w:w="3360"/>
          </w:tcPr>
          <w:p>
            <w:pPr>
              <w:spacing w:after="0"/>
            </w:pPr>
            <w:r>
              <w:rPr>
                <w:sz w:val="16"/>
              </w:rPr>
              <w:t>Unpaid, failed, reversed or ineligible transaction</w:t>
            </w:r>
          </w:p>
        </w:tc>
        <w:tc>
          <w:tcPr>
            <w:tcW w:type="dxa" w:w="3360"/>
          </w:tcPr>
          <w:p>
            <w:pPr>
              <w:spacing w:after="0"/>
            </w:pPr>
            <w:r>
              <w:rPr>
                <w:sz w:val="16"/>
              </w:rPr>
              <w:t>No reward where rules disallow it.</w:t>
            </w:r>
          </w:p>
        </w:tc>
      </w:tr>
      <w:tr>
        <w:tc>
          <w:tcPr>
            <w:tcW w:type="dxa" w:w="3360"/>
          </w:tcPr>
          <w:p>
            <w:pPr>
              <w:spacing w:after="0"/>
            </w:pPr>
            <w:r>
              <w:rPr>
                <w:sz w:val="16"/>
              </w:rPr>
              <w:t>Appointment states</w:t>
            </w:r>
          </w:p>
        </w:tc>
        <w:tc>
          <w:tcPr>
            <w:tcW w:type="dxa" w:w="3360"/>
          </w:tcPr>
          <w:p>
            <w:pPr>
              <w:spacing w:after="0"/>
            </w:pPr>
            <w:r>
              <w:rPr>
                <w:sz w:val="16"/>
              </w:rPr>
              <w:t>Scheduled, cancelled, completed, no-show or defined states</w:t>
            </w:r>
          </w:p>
        </w:tc>
        <w:tc>
          <w:tcPr>
            <w:tcW w:type="dxa" w:w="3360"/>
          </w:tcPr>
          <w:p>
            <w:pPr>
              <w:spacing w:after="0"/>
            </w:pPr>
            <w:r>
              <w:rPr>
                <w:sz w:val="16"/>
              </w:rPr>
              <w:t>Decision follows approved state rules.</w:t>
            </w:r>
          </w:p>
        </w:tc>
      </w:tr>
      <w:tr>
        <w:tc>
          <w:tcPr>
            <w:tcW w:type="dxa" w:w="3360"/>
          </w:tcPr>
          <w:p>
            <w:pPr>
              <w:spacing w:after="0"/>
            </w:pPr>
            <w:r>
              <w:rPr>
                <w:sz w:val="16"/>
              </w:rPr>
              <w:t>Duplicate/retry</w:t>
            </w:r>
          </w:p>
        </w:tc>
        <w:tc>
          <w:tcPr>
            <w:tcW w:type="dxa" w:w="3360"/>
          </w:tcPr>
          <w:p>
            <w:pPr>
              <w:spacing w:after="0"/>
            </w:pPr>
            <w:r>
              <w:rPr>
                <w:sz w:val="16"/>
              </w:rPr>
              <w:t>Repeated transaction or replayed event</w:t>
            </w:r>
          </w:p>
        </w:tc>
        <w:tc>
          <w:tcPr>
            <w:tcW w:type="dxa" w:w="3360"/>
          </w:tcPr>
          <w:p>
            <w:pPr>
              <w:spacing w:after="0"/>
            </w:pPr>
            <w:r>
              <w:rPr>
                <w:sz w:val="16"/>
              </w:rPr>
              <w:t>No duplicate reward where idempotency is required.</w:t>
            </w:r>
          </w:p>
        </w:tc>
      </w:tr>
      <w:tr>
        <w:tc>
          <w:tcPr>
            <w:tcW w:type="dxa" w:w="3360"/>
          </w:tcPr>
          <w:p>
            <w:pPr>
              <w:spacing w:after="0"/>
            </w:pPr>
            <w:r>
              <w:rPr>
                <w:sz w:val="16"/>
              </w:rPr>
              <w:t>Concurrency</w:t>
            </w:r>
          </w:p>
        </w:tc>
        <w:tc>
          <w:tcPr>
            <w:tcW w:type="dxa" w:w="3360"/>
          </w:tcPr>
          <w:p>
            <w:pPr>
              <w:spacing w:after="0"/>
            </w:pPr>
            <w:r>
              <w:rPr>
                <w:sz w:val="16"/>
              </w:rPr>
              <w:t>Two requests for same eligible transaction at once</w:t>
            </w:r>
          </w:p>
        </w:tc>
        <w:tc>
          <w:tcPr>
            <w:tcW w:type="dxa" w:w="3360"/>
          </w:tcPr>
          <w:p>
            <w:pPr>
              <w:spacing w:after="0"/>
            </w:pPr>
            <w:r>
              <w:rPr>
                <w:sz w:val="16"/>
              </w:rPr>
              <w:t>At most one reward if specified; consistent balance/ledger.</w:t>
            </w:r>
          </w:p>
        </w:tc>
      </w:tr>
      <w:tr>
        <w:tc>
          <w:tcPr>
            <w:tcW w:type="dxa" w:w="3360"/>
          </w:tcPr>
          <w:p>
            <w:pPr>
              <w:spacing w:after="0"/>
            </w:pPr>
            <w:r>
              <w:rPr>
                <w:sz w:val="16"/>
              </w:rPr>
              <w:t>Partial failure</w:t>
            </w:r>
          </w:p>
        </w:tc>
        <w:tc>
          <w:tcPr>
            <w:tcW w:type="dxa" w:w="3360"/>
          </w:tcPr>
          <w:p>
            <w:pPr>
              <w:spacing w:after="0"/>
            </w:pPr>
            <w:r>
              <w:rPr>
                <w:sz w:val="16"/>
              </w:rPr>
              <w:t>Calculation succeeds but persistence fails; event retries</w:t>
            </w:r>
          </w:p>
        </w:tc>
        <w:tc>
          <w:tcPr>
            <w:tcW w:type="dxa" w:w="3360"/>
          </w:tcPr>
          <w:p>
            <w:pPr>
              <w:spacing w:after="0"/>
            </w:pPr>
            <w:r>
              <w:rPr>
                <w:sz w:val="16"/>
              </w:rPr>
              <w:t>Atomicity/retry behavior matches design.</w:t>
            </w:r>
          </w:p>
        </w:tc>
      </w:tr>
      <w:tr>
        <w:tc>
          <w:tcPr>
            <w:tcW w:type="dxa" w:w="3360"/>
          </w:tcPr>
          <w:p>
            <w:pPr>
              <w:spacing w:after="0"/>
            </w:pPr>
            <w:r>
              <w:rPr>
                <w:sz w:val="16"/>
              </w:rPr>
              <w:t>Auditability</w:t>
            </w:r>
          </w:p>
        </w:tc>
        <w:tc>
          <w:tcPr>
            <w:tcW w:type="dxa" w:w="3360"/>
          </w:tcPr>
          <w:p>
            <w:pPr>
              <w:spacing w:after="0"/>
            </w:pPr>
            <w:r>
              <w:rPr>
                <w:sz w:val="16"/>
              </w:rPr>
              <w:t>Accepted and rejected transactions</w:t>
            </w:r>
          </w:p>
        </w:tc>
        <w:tc>
          <w:tcPr>
            <w:tcW w:type="dxa" w:w="3360"/>
          </w:tcPr>
          <w:p>
            <w:pPr>
              <w:spacing w:after="0"/>
            </w:pPr>
            <w:r>
              <w:rPr>
                <w:sz w:val="16"/>
              </w:rPr>
              <w:t>Traceable outcome and no misleading success ledger record.</w:t>
            </w:r>
          </w:p>
        </w:tc>
      </w:tr>
    </w:tbl>
    <w:p/>
    <w:p>
      <w:pPr>
        <w:pStyle w:val="Heading3"/>
      </w:pPr>
      <w:r>
        <w:t>PROMPT 5 — Boundary and negative-path design</w:t>
      </w:r>
    </w:p>
    <w:p>
      <w:pPr>
        <w:spacing w:after="20"/>
        <w:ind w:left="259"/>
      </w:pPr>
      <w:r>
        <w:rPr>
          <w:rFonts w:ascii="Consolas" w:hAnsi="Consolas"/>
          <w:sz w:val="16"/>
        </w:rPr>
        <w:t>Act as an expert in boundary-value analysis, equivalence partitioning, negative testing, state transitions and API testing.</w:t>
      </w:r>
    </w:p>
    <w:p>
      <w:pPr>
        <w:spacing w:after="20"/>
        <w:ind w:left="259"/>
      </w:pPr>
      <w:r>
        <w:rPr>
          <w:rFonts w:ascii="Consolas" w:hAnsi="Consolas"/>
          <w:sz w:val="16"/>
        </w:rPr>
        <w:t>Design cases for the points scheme involving consultation fees and clinical appointments.</w:t>
      </w:r>
    </w:p>
    <w:p>
      <w:pPr>
        <w:spacing w:after="20"/>
        <w:ind w:left="259"/>
      </w:pPr>
      <w:r>
        <w:rPr>
          <w:rFonts w:ascii="Consolas" w:hAnsi="Consolas"/>
          <w:sz w:val="16"/>
        </w:rPr>
        <w:t>Derive rules/boundaries from approved requirements, configuration, schemas and code. If undefined, mark an open question; do not invent values.</w:t>
      </w:r>
    </w:p>
    <w:p>
      <w:pPr>
        <w:spacing w:after="20"/>
        <w:ind w:left="259"/>
      </w:pPr>
      <w:r>
        <w:rPr>
          <w:rFonts w:ascii="Consolas" w:hAnsi="Consolas"/>
          <w:sz w:val="16"/>
        </w:rPr>
        <w:t>Cover applicable fee thresholds, calculation/rounding boundaries, invalid values, payment and appointment states, eligibility, duplicate requests/retries, concurrent requests, persistence failures, balance/ledger side effects and authorization/validation.</w:t>
      </w:r>
    </w:p>
    <w:p>
      <w:pPr>
        <w:spacing w:after="20"/>
        <w:ind w:left="259"/>
      </w:pPr>
      <w:r>
        <w:rPr>
          <w:rFonts w:ascii="Consolas" w:hAnsi="Consolas"/>
          <w:sz w:val="16"/>
        </w:rPr>
        <w:t>For each case provide stable ID, criterion ID, technique, preconditions, synthetic input, steps, exact expected response, expected points/balance/ledger effects, priority and rationale.</w:t>
      </w:r>
    </w:p>
    <w:p>
      <w:pPr>
        <w:spacing w:after="20"/>
        <w:ind w:left="259"/>
      </w:pPr>
      <w:r>
        <w:rPr>
          <w:rFonts w:ascii="Consolas" w:hAnsi="Consolas"/>
          <w:sz w:val="16"/>
        </w:rPr>
        <w:t>Compare against existing tests and avoid duplicates unless a case adds a distinct boundary, assertion, risk or integration path. Do not edit code. Separate confirmed rules, assumptions and blocked cases.</w:t>
      </w:r>
    </w:p>
    <w:p/>
    <w:p>
      <w:pPr>
        <w:pStyle w:val="Heading2"/>
      </w:pPr>
      <w:r>
        <w:t>Step 6 — Generate complete case set and traceability (85–100 min)</w:t>
      </w:r>
    </w:p>
    <w:p>
      <w:r>
        <w:t>The catalogue must be actionable, not just a list of titles.</w:t>
      </w:r>
    </w:p>
    <w:tbl>
      <w:tblPr>
        <w:tblStyle w:val="TableGrid"/>
        <w:tblW w:type="auto" w:w="0"/>
        <w:tblLook w:firstColumn="1" w:firstRow="1" w:lastColumn="0" w:lastRow="0" w:noHBand="0" w:noVBand="1" w:val="04A0"/>
      </w:tblPr>
      <w:tblGrid>
        <w:gridCol w:w="5040"/>
        <w:gridCol w:w="5040"/>
      </w:tblGrid>
      <w:tr>
        <w:tc>
          <w:tcPr>
            <w:tcW w:type="dxa" w:w="5040"/>
            <w:shd w:fill="17365D"/>
          </w:tcPr>
          <w:p>
            <w:r>
              <w:rPr>
                <w:b/>
                <w:color w:val="FFFFFF"/>
                <w:sz w:val="16"/>
              </w:rPr>
              <w:t>Required field</w:t>
            </w:r>
          </w:p>
        </w:tc>
        <w:tc>
          <w:tcPr>
            <w:tcW w:type="dxa" w:w="5040"/>
            <w:shd w:fill="17365D"/>
          </w:tcPr>
          <w:p>
            <w:r>
              <w:rPr>
                <w:b/>
                <w:color w:val="FFFFFF"/>
                <w:sz w:val="16"/>
              </w:rPr>
              <w:t>Meaning</w:t>
            </w:r>
          </w:p>
        </w:tc>
      </w:tr>
      <w:tr>
        <w:tc>
          <w:tcPr>
            <w:tcW w:type="dxa" w:w="5040"/>
          </w:tcPr>
          <w:p>
            <w:pPr>
              <w:spacing w:after="0"/>
            </w:pPr>
            <w:r>
              <w:rPr>
                <w:sz w:val="16"/>
              </w:rPr>
              <w:t>Test ID</w:t>
            </w:r>
          </w:p>
        </w:tc>
        <w:tc>
          <w:tcPr>
            <w:tcW w:type="dxa" w:w="5040"/>
          </w:tcPr>
          <w:p>
            <w:pPr>
              <w:spacing w:after="0"/>
            </w:pPr>
            <w:r>
              <w:rPr>
                <w:sz w:val="16"/>
              </w:rPr>
              <w:t>Stable identifier, e.g. PTS-001.</w:t>
            </w:r>
          </w:p>
        </w:tc>
      </w:tr>
      <w:tr>
        <w:tc>
          <w:tcPr>
            <w:tcW w:type="dxa" w:w="5040"/>
          </w:tcPr>
          <w:p>
            <w:pPr>
              <w:spacing w:after="0"/>
            </w:pPr>
            <w:r>
              <w:rPr>
                <w:sz w:val="16"/>
              </w:rPr>
              <w:t>Acceptance criterion</w:t>
            </w:r>
          </w:p>
        </w:tc>
        <w:tc>
          <w:tcPr>
            <w:tcW w:type="dxa" w:w="5040"/>
          </w:tcPr>
          <w:p>
            <w:pPr>
              <w:spacing w:after="0"/>
            </w:pPr>
            <w:r>
              <w:rPr>
                <w:sz w:val="16"/>
              </w:rPr>
              <w:t>Exact criterion ID(s), e.g. AC-02.</w:t>
            </w:r>
          </w:p>
        </w:tc>
      </w:tr>
      <w:tr>
        <w:tc>
          <w:tcPr>
            <w:tcW w:type="dxa" w:w="5040"/>
          </w:tcPr>
          <w:p>
            <w:pPr>
              <w:spacing w:after="0"/>
            </w:pPr>
            <w:r>
              <w:rPr>
                <w:sz w:val="16"/>
              </w:rPr>
              <w:t>Purpose/risk</w:t>
            </w:r>
          </w:p>
        </w:tc>
        <w:tc>
          <w:tcPr>
            <w:tcW w:type="dxa" w:w="5040"/>
          </w:tcPr>
          <w:p>
            <w:pPr>
              <w:spacing w:after="0"/>
            </w:pPr>
            <w:r>
              <w:rPr>
                <w:sz w:val="16"/>
              </w:rPr>
              <w:t>Behavior or risk validated.</w:t>
            </w:r>
          </w:p>
        </w:tc>
      </w:tr>
      <w:tr>
        <w:tc>
          <w:tcPr>
            <w:tcW w:type="dxa" w:w="5040"/>
          </w:tcPr>
          <w:p>
            <w:pPr>
              <w:spacing w:after="0"/>
            </w:pPr>
            <w:r>
              <w:rPr>
                <w:sz w:val="16"/>
              </w:rPr>
              <w:t>Preconditions</w:t>
            </w:r>
          </w:p>
        </w:tc>
        <w:tc>
          <w:tcPr>
            <w:tcW w:type="dxa" w:w="5040"/>
          </w:tcPr>
          <w:p>
            <w:pPr>
              <w:spacing w:after="0"/>
            </w:pPr>
            <w:r>
              <w:rPr>
                <w:sz w:val="16"/>
              </w:rPr>
              <w:t>Payment, appointment, user, transaction and environment state.</w:t>
            </w:r>
          </w:p>
        </w:tc>
      </w:tr>
      <w:tr>
        <w:tc>
          <w:tcPr>
            <w:tcW w:type="dxa" w:w="5040"/>
          </w:tcPr>
          <w:p>
            <w:pPr>
              <w:spacing w:after="0"/>
            </w:pPr>
            <w:r>
              <w:rPr>
                <w:sz w:val="16"/>
              </w:rPr>
              <w:t>Test data</w:t>
            </w:r>
          </w:p>
        </w:tc>
        <w:tc>
          <w:tcPr>
            <w:tcW w:type="dxa" w:w="5040"/>
          </w:tcPr>
          <w:p>
            <w:pPr>
              <w:spacing w:after="0"/>
            </w:pPr>
            <w:r>
              <w:rPr>
                <w:sz w:val="16"/>
              </w:rPr>
              <w:t>Synthetic inputs with explicit values.</w:t>
            </w:r>
          </w:p>
        </w:tc>
      </w:tr>
      <w:tr>
        <w:tc>
          <w:tcPr>
            <w:tcW w:type="dxa" w:w="5040"/>
          </w:tcPr>
          <w:p>
            <w:pPr>
              <w:spacing w:after="0"/>
            </w:pPr>
            <w:r>
              <w:rPr>
                <w:sz w:val="16"/>
              </w:rPr>
              <w:t>Steps</w:t>
            </w:r>
          </w:p>
        </w:tc>
        <w:tc>
          <w:tcPr>
            <w:tcW w:type="dxa" w:w="5040"/>
          </w:tcPr>
          <w:p>
            <w:pPr>
              <w:spacing w:after="0"/>
            </w:pPr>
            <w:r>
              <w:rPr>
                <w:sz w:val="16"/>
              </w:rPr>
              <w:t>Repeatable actions in order.</w:t>
            </w:r>
          </w:p>
        </w:tc>
      </w:tr>
      <w:tr>
        <w:tc>
          <w:tcPr>
            <w:tcW w:type="dxa" w:w="5040"/>
          </w:tcPr>
          <w:p>
            <w:pPr>
              <w:spacing w:after="0"/>
            </w:pPr>
            <w:r>
              <w:rPr>
                <w:sz w:val="16"/>
              </w:rPr>
              <w:t>Expected result</w:t>
            </w:r>
          </w:p>
        </w:tc>
        <w:tc>
          <w:tcPr>
            <w:tcW w:type="dxa" w:w="5040"/>
          </w:tcPr>
          <w:p>
            <w:pPr>
              <w:spacing w:after="0"/>
            </w:pPr>
            <w:r>
              <w:rPr>
                <w:sz w:val="16"/>
              </w:rPr>
              <w:t>Specific status, values, balance, ledger and side effects.</w:t>
            </w:r>
          </w:p>
        </w:tc>
      </w:tr>
      <w:tr>
        <w:tc>
          <w:tcPr>
            <w:tcW w:type="dxa" w:w="5040"/>
          </w:tcPr>
          <w:p>
            <w:pPr>
              <w:spacing w:after="0"/>
            </w:pPr>
            <w:r>
              <w:rPr>
                <w:sz w:val="16"/>
              </w:rPr>
              <w:t>Priority/level</w:t>
            </w:r>
          </w:p>
        </w:tc>
        <w:tc>
          <w:tcPr>
            <w:tcW w:type="dxa" w:w="5040"/>
          </w:tcPr>
          <w:p>
            <w:pPr>
              <w:spacing w:after="0"/>
            </w:pPr>
            <w:r>
              <w:rPr>
                <w:sz w:val="16"/>
              </w:rPr>
              <w:t>Risk-based priority and unit/API/integration/E2E level.</w:t>
            </w:r>
          </w:p>
        </w:tc>
      </w:tr>
      <w:tr>
        <w:tc>
          <w:tcPr>
            <w:tcW w:type="dxa" w:w="5040"/>
          </w:tcPr>
          <w:p>
            <w:pPr>
              <w:spacing w:after="0"/>
            </w:pPr>
            <w:r>
              <w:rPr>
                <w:sz w:val="16"/>
              </w:rPr>
              <w:t>Existing asset comparison</w:t>
            </w:r>
          </w:p>
        </w:tc>
        <w:tc>
          <w:tcPr>
            <w:tcW w:type="dxa" w:w="5040"/>
          </w:tcPr>
          <w:p>
            <w:pPr>
              <w:spacing w:after="0"/>
            </w:pPr>
            <w:r>
              <w:rPr>
                <w:sz w:val="16"/>
              </w:rPr>
              <w:t>Existing test link or reason it adds coverage.</w:t>
            </w:r>
          </w:p>
        </w:tc>
      </w:tr>
      <w:tr>
        <w:tc>
          <w:tcPr>
            <w:tcW w:type="dxa" w:w="5040"/>
          </w:tcPr>
          <w:p>
            <w:pPr>
              <w:spacing w:after="0"/>
            </w:pPr>
            <w:r>
              <w:rPr>
                <w:sz w:val="16"/>
              </w:rPr>
              <w:t>Status</w:t>
            </w:r>
          </w:p>
        </w:tc>
        <w:tc>
          <w:tcPr>
            <w:tcW w:type="dxa" w:w="5040"/>
          </w:tcPr>
          <w:p>
            <w:pPr>
              <w:spacing w:after="0"/>
            </w:pPr>
            <w:r>
              <w:rPr>
                <w:sz w:val="16"/>
              </w:rPr>
              <w:t>Proposed, approved, implemented, executed, passed, failed or blocked.</w:t>
            </w:r>
          </w:p>
        </w:tc>
      </w:tr>
    </w:tbl>
    <w:p/>
    <w:p>
      <w:pPr>
        <w:pStyle w:val="Heading3"/>
      </w:pPr>
      <w:r>
        <w:t>PROMPT 6 — Full case set and traceability matrix</w:t>
      </w:r>
    </w:p>
    <w:p>
      <w:pPr>
        <w:spacing w:after="20"/>
        <w:ind w:left="259"/>
      </w:pPr>
      <w:r>
        <w:rPr>
          <w:rFonts w:ascii="Consolas" w:hAnsi="Consolas"/>
          <w:sz w:val="16"/>
        </w:rPr>
        <w:t>Using the approved test plan, confirmed criteria, existing-test inventory and reviewed boundary analysis, generate the complete proposed case set.</w:t>
      </w:r>
    </w:p>
    <w:p>
      <w:pPr>
        <w:spacing w:after="20"/>
        <w:ind w:left="259"/>
      </w:pPr>
      <w:r>
        <w:rPr>
          <w:rFonts w:ascii="Consolas" w:hAnsi="Consolas"/>
          <w:sz w:val="16"/>
        </w:rPr>
        <w:t>Use stable IDs such as PTS-001. Map every case to exact acceptance-criterion IDs. Include applicable positive, negative, boundary, state-transition, idempotency and concurrency cases.</w:t>
      </w:r>
    </w:p>
    <w:p>
      <w:pPr>
        <w:spacing w:after="20"/>
        <w:ind w:left="259"/>
      </w:pPr>
      <w:r>
        <w:rPr>
          <w:rFonts w:ascii="Consolas" w:hAnsi="Consolas"/>
          <w:sz w:val="16"/>
        </w:rPr>
        <w:t>Specify preconditions, synthetic data, steps, exact expected outcomes, meaningful assertions, priority and test level. Link existing tests when they cover behavior; avoid redundant cases.</w:t>
      </w:r>
    </w:p>
    <w:p>
      <w:pPr>
        <w:spacing w:after="20"/>
        <w:ind w:left="259"/>
      </w:pPr>
      <w:r>
        <w:rPr>
          <w:rFonts w:ascii="Consolas" w:hAnsi="Consolas"/>
          <w:sz w:val="16"/>
        </w:rPr>
        <w:t>List criteria with no/partial coverage and tests with no valid criterion mapping. Flag cases blocked by ambiguity. Separate proposed, approved, implemented and executed cases.</w:t>
      </w:r>
    </w:p>
    <w:p>
      <w:pPr>
        <w:spacing w:after="20"/>
        <w:ind w:left="259"/>
      </w:pPr>
      <w:r>
        <w:rPr>
          <w:rFonts w:ascii="Consolas" w:hAnsi="Consolas"/>
          <w:sz w:val="16"/>
        </w:rPr>
        <w:t>Deliver catalogue, traceability matrix, existing-versus-new comparison, duplicate review, open questions and gaps.</w:t>
      </w:r>
    </w:p>
    <w:p>
      <w:pPr>
        <w:spacing w:after="20"/>
        <w:ind w:left="259"/>
      </w:pPr>
      <w:r>
        <w:rPr>
          <w:rFonts w:ascii="Consolas" w:hAnsi="Consolas"/>
          <w:sz w:val="16"/>
        </w:rPr>
        <w:t>Do not claim execution or passing unless evidence was observed. Do not edit files until I approve the catalogue.</w:t>
      </w:r>
    </w:p>
    <w:p/>
    <w:p>
      <w:pPr>
        <w:pStyle w:val="Heading2"/>
      </w:pPr>
      <w:r>
        <w:t>Step 7 — Review weak tests and duplicates (100–112 min)</w:t>
      </w:r>
    </w:p>
    <w:p>
      <w:r>
        <w:t>A test can look plausible yet fail to prove its named behavior. Review assertions, not just test names.</w:t>
      </w:r>
    </w:p>
    <w:p>
      <w:pPr>
        <w:pStyle w:val="Heading3"/>
      </w:pPr>
      <w:r>
        <w:t>Weak example</w:t>
      </w:r>
    </w:p>
    <w:p>
      <w:r>
        <w:rPr>
          <w:rFonts w:ascii="Consolas" w:hAnsi="Consolas"/>
          <w:sz w:val="20"/>
        </w:rPr>
        <w:t>assert response is not None</w:t>
      </w:r>
    </w:p>
    <w:p>
      <w:r>
        <w:t>This may pass when the API returns an error, wrong points or no meaningful result. It does not verify the acceptance criterion.</w:t>
      </w:r>
    </w:p>
    <w:p>
      <w:pPr>
        <w:pStyle w:val="Heading3"/>
      </w:pPr>
      <w:r>
        <w:t>Stronger illustrative example</w:t>
      </w:r>
    </w:p>
    <w:p>
      <w:r>
        <w:rPr>
          <w:rFonts w:ascii="Consolas" w:hAnsi="Consolas"/>
          <w:sz w:val="16"/>
        </w:rPr>
        <w:t>response = client.post(</w:t>
        <w:br/>
        <w:t xml:space="preserve">    "/points/award",</w:t>
        <w:br/>
        <w:t xml:space="preserve">    json={"transaction_id": eligible_paid_transaction.id},</w:t>
        <w:br/>
        <w:t>)</w:t>
        <w:br/>
        <w:t>assert response.status_code == 200</w:t>
        <w:br/>
        <w:t>assert response.json()["status"] == "awarded"</w:t>
        <w:br/>
        <w:t>assert response.json()["points_awarded"] == approved_points_formula(</w:t>
        <w:br/>
        <w:t xml:space="preserve">    eligible_paid_transaction.fee</w:t>
        <w:br/>
        <w:t>)</w:t>
      </w:r>
    </w:p>
    <w:p>
      <w:r>
        <w:t>Illustrative pseudocode only. Adapt endpoint, fixtures, response contract and formula to the repository. Also verify persisted balance/ledger and repeated-request behavior.</w:t>
      </w:r>
    </w:p>
    <w:p>
      <w:pPr>
        <w:pStyle w:val="Heading3"/>
      </w:pPr>
      <w:r>
        <w:t>PROMPT 7 — Skeptical test-quality review</w:t>
      </w:r>
    </w:p>
    <w:p>
      <w:pPr>
        <w:spacing w:after="20"/>
        <w:ind w:left="259"/>
      </w:pPr>
      <w:r>
        <w:rPr>
          <w:rFonts w:ascii="Consolas" w:hAnsi="Consolas"/>
          <w:sz w:val="16"/>
        </w:rPr>
        <w:t>Review proposed and existing tests as a skeptical QA reviewer.</w:t>
      </w:r>
    </w:p>
    <w:p>
      <w:pPr>
        <w:spacing w:after="20"/>
        <w:ind w:left="259"/>
      </w:pPr>
      <w:r>
        <w:rPr>
          <w:rFonts w:ascii="Consolas" w:hAnsi="Consolas"/>
          <w:sz w:val="16"/>
        </w:rPr>
        <w:t>Find tests that only assert response existence/non-emptiness, fail to verify status/business outcome, use unsupported expected values, duplicate tests, fail to exercise their stated boundary, pass when behavior is broken, or lack criterion traceability.</w:t>
      </w:r>
    </w:p>
    <w:p>
      <w:pPr>
        <w:spacing w:after="20"/>
        <w:ind w:left="259"/>
      </w:pPr>
      <w:r>
        <w:rPr>
          <w:rFonts w:ascii="Consolas" w:hAnsi="Consolas"/>
          <w:sz w:val="16"/>
        </w:rPr>
        <w:t>For each weak test provide ID/path, evidence, design weakness, affected criterion and stronger assertion/state check.</w:t>
      </w:r>
    </w:p>
    <w:p>
      <w:pPr>
        <w:spacing w:after="20"/>
        <w:ind w:left="259"/>
      </w:pPr>
      <w:r>
        <w:rPr>
          <w:rFonts w:ascii="Consolas" w:hAnsi="Consolas"/>
          <w:sz w:val="16"/>
        </w:rPr>
        <w:t>Distinguish confirmed weaknesses from concerns needing investigation. Do not modify files yet.</w:t>
      </w:r>
    </w:p>
    <w:p/>
    <w:p>
      <w:pPr>
        <w:pStyle w:val="Heading2"/>
      </w:pPr>
      <w:r>
        <w:t>Step 8 — Approval, implementation and execution (112–120 min)</w:t>
      </w:r>
    </w:p>
    <w:p>
      <w:pPr>
        <w:pStyle w:val="ListNumber"/>
        <w:spacing w:after="40"/>
      </w:pPr>
      <w:r>
        <w:t>Obtain human approval for the plan, clarified rules and proposed cases.</w:t>
      </w:r>
    </w:p>
    <w:p>
      <w:pPr>
        <w:pStyle w:val="ListNumber"/>
        <w:spacing w:after="40"/>
      </w:pPr>
      <w:r>
        <w:t>Only then ask Devin to implement approved tests using the existing framework and conventions.</w:t>
      </w:r>
    </w:p>
    <w:p>
      <w:pPr>
        <w:pStyle w:val="ListNumber"/>
        <w:spacing w:after="40"/>
      </w:pPr>
      <w:r>
        <w:t>Ask Devin to list files to change and why before editing; keep scope limited to approved test files.</w:t>
      </w:r>
    </w:p>
    <w:p>
      <w:pPr>
        <w:pStyle w:val="ListNumber"/>
        <w:spacing w:after="40"/>
      </w:pPr>
      <w:r>
        <w:t>Run the repository's documented test command in the intended environment.</w:t>
      </w:r>
    </w:p>
    <w:p>
      <w:pPr>
        <w:pStyle w:val="ListNumber"/>
        <w:spacing w:after="40"/>
      </w:pPr>
      <w:r>
        <w:t>Inspect failures/logs and distinguish test failures, environment failures and application defects.</w:t>
      </w:r>
    </w:p>
    <w:p>
      <w:pPr>
        <w:pStyle w:val="ListNumber"/>
        <w:spacing w:after="40"/>
      </w:pPr>
      <w:r>
        <w:t>Update statuses only from observed evidence; unexecuted cases are not passed.</w:t>
      </w:r>
    </w:p>
    <w:p>
      <w:pPr>
        <w:pStyle w:val="ListNumber"/>
        <w:spacing w:after="40"/>
      </w:pPr>
      <w:r>
        <w:t>Produce a report of commands, results, failed/blocked tests, gaps and residual risks.</w:t>
      </w:r>
    </w:p>
    <w:p>
      <w:pPr>
        <w:pStyle w:val="Heading3"/>
      </w:pPr>
      <w:r>
        <w:t>PROMPT 8 — Implement approved tests and report evidence</w:t>
      </w:r>
    </w:p>
    <w:p>
      <w:pPr>
        <w:spacing w:after="20"/>
        <w:ind w:left="259"/>
      </w:pPr>
      <w:r>
        <w:rPr>
          <w:rFonts w:ascii="Consolas" w:hAnsi="Consolas"/>
          <w:sz w:val="16"/>
        </w:rPr>
        <w:t>The test plan and case catalogue have been reviewed and approved.</w:t>
      </w:r>
    </w:p>
    <w:p>
      <w:pPr>
        <w:spacing w:after="20"/>
        <w:ind w:left="259"/>
      </w:pPr>
      <w:r>
        <w:rPr>
          <w:rFonts w:ascii="Consolas" w:hAnsi="Consolas"/>
          <w:sz w:val="16"/>
        </w:rPr>
        <w:t>Implement only approved tests using the repository's existing framework and conventions.</w:t>
      </w:r>
    </w:p>
    <w:p>
      <w:pPr>
        <w:spacing w:after="20"/>
        <w:ind w:left="259"/>
      </w:pPr>
      <w:r>
        <w:rPr>
          <w:rFonts w:ascii="Consolas" w:hAnsi="Consolas"/>
          <w:sz w:val="16"/>
        </w:rPr>
        <w:t>Before editing, list files to create/modify and explain why. Reuse fixtures/helpers. Do not change production behavior or unrelated tests unless explicitly authorized.</w:t>
      </w:r>
    </w:p>
    <w:p>
      <w:pPr>
        <w:spacing w:after="20"/>
        <w:ind w:left="259"/>
      </w:pPr>
      <w:r>
        <w:rPr>
          <w:rFonts w:ascii="Consolas" w:hAnsi="Consolas"/>
          <w:sz w:val="16"/>
        </w:rPr>
        <w:t>Inspect the diff and run the repository-documented test command in the configured environment.</w:t>
      </w:r>
    </w:p>
    <w:p>
      <w:pPr>
        <w:spacing w:after="20"/>
        <w:ind w:left="259"/>
      </w:pPr>
      <w:r>
        <w:rPr>
          <w:rFonts w:ascii="Consolas" w:hAnsi="Consolas"/>
          <w:sz w:val="16"/>
        </w:rPr>
        <w:t>Report exact commands, test counts, pass/fail/skip results, relevant failure output, files changed, cases not executed and remaining risks.</w:t>
      </w:r>
    </w:p>
    <w:p>
      <w:pPr>
        <w:spacing w:after="20"/>
        <w:ind w:left="259"/>
      </w:pPr>
      <w:r>
        <w:rPr>
          <w:rFonts w:ascii="Consolas" w:hAnsi="Consolas"/>
          <w:sz w:val="16"/>
        </w:rPr>
        <w:t>Do not claim a pass without execution evidence. If the environment is unavailable, explain the blocker and mark execution blocked.</w:t>
      </w:r>
    </w:p>
    <w:p/>
    <w:p>
      <w:pPr>
        <w:pStyle w:val="Heading1"/>
      </w:pPr>
      <w:r>
        <w:t>6. Traceability and coverage example</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7365D"/>
          </w:tcPr>
          <w:p>
            <w:r>
              <w:rPr>
                <w:b/>
                <w:color w:val="FFFFFF"/>
                <w:sz w:val="16"/>
              </w:rPr>
              <w:t>Criterion</w:t>
            </w:r>
          </w:p>
        </w:tc>
        <w:tc>
          <w:tcPr>
            <w:tcW w:type="dxa" w:w="2520"/>
            <w:shd w:fill="17365D"/>
          </w:tcPr>
          <w:p>
            <w:r>
              <w:rPr>
                <w:b/>
                <w:color w:val="FFFFFF"/>
                <w:sz w:val="16"/>
              </w:rPr>
              <w:t>Existing test evidence</w:t>
            </w:r>
          </w:p>
        </w:tc>
        <w:tc>
          <w:tcPr>
            <w:tcW w:type="dxa" w:w="2520"/>
            <w:shd w:fill="17365D"/>
          </w:tcPr>
          <w:p>
            <w:r>
              <w:rPr>
                <w:b/>
                <w:color w:val="FFFFFF"/>
                <w:sz w:val="16"/>
              </w:rPr>
              <w:t>Proposed test</w:t>
            </w:r>
          </w:p>
        </w:tc>
        <w:tc>
          <w:tcPr>
            <w:tcW w:type="dxa" w:w="2520"/>
            <w:shd w:fill="17365D"/>
          </w:tcPr>
          <w:p>
            <w:r>
              <w:rPr>
                <w:b/>
                <w:color w:val="FFFFFF"/>
                <w:sz w:val="16"/>
              </w:rPr>
              <w:t>Coverage status</w:t>
            </w:r>
          </w:p>
        </w:tc>
      </w:tr>
      <w:tr>
        <w:tc>
          <w:tcPr>
            <w:tcW w:type="dxa" w:w="2520"/>
          </w:tcPr>
          <w:p>
            <w:pPr>
              <w:spacing w:after="0"/>
            </w:pPr>
            <w:r>
              <w:rPr>
                <w:sz w:val="16"/>
              </w:rPr>
              <w:t>AC-01 Formula</w:t>
            </w:r>
          </w:p>
        </w:tc>
        <w:tc>
          <w:tcPr>
            <w:tcW w:type="dxa" w:w="2520"/>
          </w:tcPr>
          <w:p>
            <w:pPr>
              <w:spacing w:after="0"/>
            </w:pPr>
            <w:r>
              <w:rPr>
                <w:sz w:val="16"/>
              </w:rPr>
              <w:t>Actual path/name after inspection</w:t>
            </w:r>
          </w:p>
        </w:tc>
        <w:tc>
          <w:tcPr>
            <w:tcW w:type="dxa" w:w="2520"/>
          </w:tcPr>
          <w:p>
            <w:pPr>
              <w:spacing w:after="0"/>
            </w:pPr>
            <w:r>
              <w:rPr>
                <w:sz w:val="16"/>
              </w:rPr>
              <w:t>PTS-011: approved rounding boundary</w:t>
            </w:r>
          </w:p>
        </w:tc>
        <w:tc>
          <w:tcPr>
            <w:tcW w:type="dxa" w:w="2520"/>
          </w:tcPr>
          <w:p>
            <w:pPr>
              <w:spacing w:after="0"/>
            </w:pPr>
            <w:r>
              <w:rPr>
                <w:sz w:val="16"/>
              </w:rPr>
              <w:t>Verify existing coverage; add only if gap exists</w:t>
            </w:r>
          </w:p>
        </w:tc>
      </w:tr>
      <w:tr>
        <w:tc>
          <w:tcPr>
            <w:tcW w:type="dxa" w:w="2520"/>
          </w:tcPr>
          <w:p>
            <w:pPr>
              <w:spacing w:after="0"/>
            </w:pPr>
            <w:r>
              <w:rPr>
                <w:sz w:val="16"/>
              </w:rPr>
              <w:t>AC-02 Paid/eligible fee</w:t>
            </w:r>
          </w:p>
        </w:tc>
        <w:tc>
          <w:tcPr>
            <w:tcW w:type="dxa" w:w="2520"/>
          </w:tcPr>
          <w:p>
            <w:pPr>
              <w:spacing w:after="0"/>
            </w:pPr>
            <w:r>
              <w:rPr>
                <w:sz w:val="16"/>
              </w:rPr>
              <w:t>Actual path/name after inspection</w:t>
            </w:r>
          </w:p>
        </w:tc>
        <w:tc>
          <w:tcPr>
            <w:tcW w:type="dxa" w:w="2520"/>
          </w:tcPr>
          <w:p>
            <w:pPr>
              <w:spacing w:after="0"/>
            </w:pPr>
            <w:r>
              <w:rPr>
                <w:sz w:val="16"/>
              </w:rPr>
              <w:t>PTS-012: unpaid transaction</w:t>
            </w:r>
          </w:p>
        </w:tc>
        <w:tc>
          <w:tcPr>
            <w:tcW w:type="dxa" w:w="2520"/>
          </w:tcPr>
          <w:p>
            <w:pPr>
              <w:spacing w:after="0"/>
            </w:pPr>
            <w:r>
              <w:rPr>
                <w:sz w:val="16"/>
              </w:rPr>
              <w:t>Gap to verify</w:t>
            </w:r>
          </w:p>
        </w:tc>
      </w:tr>
      <w:tr>
        <w:tc>
          <w:tcPr>
            <w:tcW w:type="dxa" w:w="2520"/>
          </w:tcPr>
          <w:p>
            <w:pPr>
              <w:spacing w:after="0"/>
            </w:pPr>
            <w:r>
              <w:rPr>
                <w:sz w:val="16"/>
              </w:rPr>
              <w:t>AC-03 Appointment eligibility</w:t>
            </w:r>
          </w:p>
        </w:tc>
        <w:tc>
          <w:tcPr>
            <w:tcW w:type="dxa" w:w="2520"/>
          </w:tcPr>
          <w:p>
            <w:pPr>
              <w:spacing w:after="0"/>
            </w:pPr>
            <w:r>
              <w:rPr>
                <w:sz w:val="16"/>
              </w:rPr>
              <w:t>Actual path/name after inspection</w:t>
            </w:r>
          </w:p>
        </w:tc>
        <w:tc>
          <w:tcPr>
            <w:tcW w:type="dxa" w:w="2520"/>
          </w:tcPr>
          <w:p>
            <w:pPr>
              <w:spacing w:after="0"/>
            </w:pPr>
            <w:r>
              <w:rPr>
                <w:sz w:val="16"/>
              </w:rPr>
              <w:t>PTS-013: ineligible appointment</w:t>
            </w:r>
          </w:p>
        </w:tc>
        <w:tc>
          <w:tcPr>
            <w:tcW w:type="dxa" w:w="2520"/>
          </w:tcPr>
          <w:p>
            <w:pPr>
              <w:spacing w:after="0"/>
            </w:pPr>
            <w:r>
              <w:rPr>
                <w:sz w:val="16"/>
              </w:rPr>
              <w:t>Gap to verify</w:t>
            </w:r>
          </w:p>
        </w:tc>
      </w:tr>
      <w:tr>
        <w:tc>
          <w:tcPr>
            <w:tcW w:type="dxa" w:w="2520"/>
          </w:tcPr>
          <w:p>
            <w:pPr>
              <w:spacing w:after="0"/>
            </w:pPr>
            <w:r>
              <w:rPr>
                <w:sz w:val="16"/>
              </w:rPr>
              <w:t>AC-04 No duplicate reward</w:t>
            </w:r>
          </w:p>
        </w:tc>
        <w:tc>
          <w:tcPr>
            <w:tcW w:type="dxa" w:w="2520"/>
          </w:tcPr>
          <w:p>
            <w:pPr>
              <w:spacing w:after="0"/>
            </w:pPr>
            <w:r>
              <w:rPr>
                <w:sz w:val="16"/>
              </w:rPr>
              <w:t>Actual path/name after inspection</w:t>
            </w:r>
          </w:p>
        </w:tc>
        <w:tc>
          <w:tcPr>
            <w:tcW w:type="dxa" w:w="2520"/>
          </w:tcPr>
          <w:p>
            <w:pPr>
              <w:spacing w:after="0"/>
            </w:pPr>
            <w:r>
              <w:rPr>
                <w:sz w:val="16"/>
              </w:rPr>
              <w:t>PTS-014: concurrent requests</w:t>
            </w:r>
          </w:p>
        </w:tc>
        <w:tc>
          <w:tcPr>
            <w:tcW w:type="dxa" w:w="2520"/>
          </w:tcPr>
          <w:p>
            <w:pPr>
              <w:spacing w:after="0"/>
            </w:pPr>
            <w:r>
              <w:rPr>
                <w:sz w:val="16"/>
              </w:rPr>
              <w:t>Concurrency coverage to verify</w:t>
            </w:r>
          </w:p>
        </w:tc>
      </w:tr>
      <w:tr>
        <w:tc>
          <w:tcPr>
            <w:tcW w:type="dxa" w:w="2520"/>
          </w:tcPr>
          <w:p>
            <w:pPr>
              <w:spacing w:after="0"/>
            </w:pPr>
            <w:r>
              <w:rPr>
                <w:sz w:val="16"/>
              </w:rPr>
              <w:t>AC-06 No side effects on rejection</w:t>
            </w:r>
          </w:p>
        </w:tc>
        <w:tc>
          <w:tcPr>
            <w:tcW w:type="dxa" w:w="2520"/>
          </w:tcPr>
          <w:p>
            <w:pPr>
              <w:spacing w:after="0"/>
            </w:pPr>
            <w:r>
              <w:rPr>
                <w:sz w:val="16"/>
              </w:rPr>
              <w:t>Actual path/name after inspection</w:t>
            </w:r>
          </w:p>
        </w:tc>
        <w:tc>
          <w:tcPr>
            <w:tcW w:type="dxa" w:w="2520"/>
          </w:tcPr>
          <w:p>
            <w:pPr>
              <w:spacing w:after="0"/>
            </w:pPr>
            <w:r>
              <w:rPr>
                <w:sz w:val="16"/>
              </w:rPr>
              <w:t>PTS-015: rejected fee preserves balance</w:t>
            </w:r>
          </w:p>
        </w:tc>
        <w:tc>
          <w:tcPr>
            <w:tcW w:type="dxa" w:w="2520"/>
          </w:tcPr>
          <w:p>
            <w:pPr>
              <w:spacing w:after="0"/>
            </w:pPr>
            <w:r>
              <w:rPr>
                <w:sz w:val="16"/>
              </w:rPr>
              <w:t>Gap to verify</w:t>
            </w:r>
          </w:p>
        </w:tc>
      </w:tr>
    </w:tbl>
    <w:p/>
    <w:p>
      <w:r>
        <w:t>Illustrative only. Never present placeholder names as actual repository evidence.</w:t>
      </w:r>
    </w:p>
    <w:p>
      <w:pPr>
        <w:pStyle w:val="Heading1"/>
      </w:pPr>
      <w:r>
        <w:t>7. Quality gates before accepting results</w:t>
      </w:r>
    </w:p>
    <w:p>
      <w:pPr>
        <w:pStyle w:val="ListBullet"/>
        <w:spacing w:after="40"/>
      </w:pPr>
      <w:r>
        <w:t>Every case has a unique ID and exact acceptance-criterion link.</w:t>
      </w:r>
    </w:p>
    <w:p>
      <w:pPr>
        <w:pStyle w:val="ListBullet"/>
        <w:spacing w:after="40"/>
      </w:pPr>
      <w:r>
        <w:t>Expected results are based on approved rules, not assumptions.</w:t>
      </w:r>
    </w:p>
    <w:p>
      <w:pPr>
        <w:pStyle w:val="ListBullet"/>
        <w:spacing w:after="40"/>
      </w:pPr>
      <w:r>
        <w:t>Existing tests were inspected at assertion level before new cases were proposed.</w:t>
      </w:r>
    </w:p>
    <w:p>
      <w:pPr>
        <w:pStyle w:val="ListBullet"/>
        <w:spacing w:after="40"/>
      </w:pPr>
      <w:r>
        <w:t>Boundary values derive from confirmed limits and precision.</w:t>
      </w:r>
    </w:p>
    <w:p>
      <w:pPr>
        <w:pStyle w:val="ListBullet"/>
        <w:spacing w:after="40"/>
      </w:pPr>
      <w:r>
        <w:t>Negative tests verify rejection and absence of unintended side effects.</w:t>
      </w:r>
    </w:p>
    <w:p>
      <w:pPr>
        <w:pStyle w:val="ListBullet"/>
        <w:spacing w:after="40"/>
      </w:pPr>
      <w:r>
        <w:t>Duplicate/retry/concurrency cases assert required idempotency and persistence behavior.</w:t>
      </w:r>
    </w:p>
    <w:p>
      <w:pPr>
        <w:pStyle w:val="ListBullet"/>
        <w:spacing w:after="40"/>
      </w:pPr>
      <w:r>
        <w:t>Tests use synthetic data and avoid production records/secrets.</w:t>
      </w:r>
    </w:p>
    <w:p>
      <w:pPr>
        <w:pStyle w:val="ListBullet"/>
        <w:spacing w:after="40"/>
      </w:pPr>
      <w:r>
        <w:t>Weak assertions and untraceable cases are fixed or explicitly rejected.</w:t>
      </w:r>
    </w:p>
    <w:p>
      <w:pPr>
        <w:pStyle w:val="ListBullet"/>
        <w:spacing w:after="40"/>
      </w:pPr>
      <w:r>
        <w:t>Proposed, approved, implemented and executed statuses remain distinct.</w:t>
      </w:r>
    </w:p>
    <w:p>
      <w:pPr>
        <w:pStyle w:val="ListBullet"/>
        <w:spacing w:after="40"/>
      </w:pPr>
      <w:r>
        <w:t>The report contains real commands and observed results.</w:t>
      </w:r>
    </w:p>
    <w:p>
      <w:pPr>
        <w:pStyle w:val="Heading1"/>
      </w:pPr>
      <w:r>
        <w:t>8. Common problems and facilitator responses</w:t>
      </w:r>
    </w:p>
    <w:tbl>
      <w:tblPr>
        <w:tblStyle w:val="TableGrid"/>
        <w:tblW w:type="auto" w:w="0"/>
        <w:tblLook w:firstColumn="1" w:firstRow="1" w:lastColumn="0" w:lastRow="0" w:noHBand="0" w:noVBand="1" w:val="04A0"/>
      </w:tblPr>
      <w:tblGrid>
        <w:gridCol w:w="5040"/>
        <w:gridCol w:w="5040"/>
      </w:tblGrid>
      <w:tr>
        <w:tc>
          <w:tcPr>
            <w:tcW w:type="dxa" w:w="5040"/>
            <w:shd w:fill="17365D"/>
          </w:tcPr>
          <w:p>
            <w:r>
              <w:rPr>
                <w:b/>
                <w:color w:val="FFFFFF"/>
                <w:sz w:val="16"/>
              </w:rPr>
              <w:t>Problem</w:t>
            </w:r>
          </w:p>
        </w:tc>
        <w:tc>
          <w:tcPr>
            <w:tcW w:type="dxa" w:w="5040"/>
            <w:shd w:fill="17365D"/>
          </w:tcPr>
          <w:p>
            <w:r>
              <w:rPr>
                <w:b/>
                <w:color w:val="FFFFFF"/>
                <w:sz w:val="16"/>
              </w:rPr>
              <w:t>Response</w:t>
            </w:r>
          </w:p>
        </w:tc>
      </w:tr>
      <w:tr>
        <w:tc>
          <w:tcPr>
            <w:tcW w:type="dxa" w:w="5040"/>
          </w:tcPr>
          <w:p>
            <w:pPr>
              <w:spacing w:after="0"/>
            </w:pPr>
            <w:r>
              <w:rPr>
                <w:sz w:val="16"/>
              </w:rPr>
              <w:t>Devin cannot access repository</w:t>
            </w:r>
          </w:p>
        </w:tc>
        <w:tc>
          <w:tcPr>
            <w:tcW w:type="dxa" w:w="5040"/>
          </w:tcPr>
          <w:p>
            <w:pPr>
              <w:spacing w:after="0"/>
            </w:pPr>
            <w:r>
              <w:rPr>
                <w:sz w:val="16"/>
              </w:rPr>
              <w:t>Check connection/permissions; use accessible sample evidence. Do not claim files were inspected.</w:t>
            </w:r>
          </w:p>
        </w:tc>
      </w:tr>
      <w:tr>
        <w:tc>
          <w:tcPr>
            <w:tcW w:type="dxa" w:w="5040"/>
          </w:tcPr>
          <w:p>
            <w:pPr>
              <w:spacing w:after="0"/>
            </w:pPr>
            <w:r>
              <w:rPr>
                <w:sz w:val="16"/>
              </w:rPr>
              <w:t>No acceptance criteria</w:t>
            </w:r>
          </w:p>
        </w:tc>
        <w:tc>
          <w:tcPr>
            <w:tcW w:type="dxa" w:w="5040"/>
          </w:tcPr>
          <w:p>
            <w:pPr>
              <w:spacing w:after="0"/>
            </w:pPr>
            <w:r>
              <w:rPr>
                <w:sz w:val="16"/>
              </w:rPr>
              <w:t>Draft clarification questions; defer exact expected results until rules are approved.</w:t>
            </w:r>
          </w:p>
        </w:tc>
      </w:tr>
      <w:tr>
        <w:tc>
          <w:tcPr>
            <w:tcW w:type="dxa" w:w="5040"/>
          </w:tcPr>
          <w:p>
            <w:pPr>
              <w:spacing w:after="0"/>
            </w:pPr>
            <w:r>
              <w:rPr>
                <w:sz w:val="16"/>
              </w:rPr>
              <w:t>Devin invents formula/limits</w:t>
            </w:r>
          </w:p>
        </w:tc>
        <w:tc>
          <w:tcPr>
            <w:tcW w:type="dxa" w:w="5040"/>
          </w:tcPr>
          <w:p>
            <w:pPr>
              <w:spacing w:after="0"/>
            </w:pPr>
            <w:r>
              <w:rPr>
                <w:sz w:val="16"/>
              </w:rPr>
              <w:t>Reject the assumption; request authoritative evidence or mark case blocked.</w:t>
            </w:r>
          </w:p>
        </w:tc>
      </w:tr>
      <w:tr>
        <w:tc>
          <w:tcPr>
            <w:tcW w:type="dxa" w:w="5040"/>
          </w:tcPr>
          <w:p>
            <w:pPr>
              <w:spacing w:after="0"/>
            </w:pPr>
            <w:r>
              <w:rPr>
                <w:sz w:val="16"/>
              </w:rPr>
              <w:t>Near-identical cases</w:t>
            </w:r>
          </w:p>
        </w:tc>
        <w:tc>
          <w:tcPr>
            <w:tcW w:type="dxa" w:w="5040"/>
          </w:tcPr>
          <w:p>
            <w:pPr>
              <w:spacing w:after="0"/>
            </w:pPr>
            <w:r>
              <w:rPr>
                <w:sz w:val="16"/>
              </w:rPr>
              <w:t>Compare assertions and retain cases only when they add coverage.</w:t>
            </w:r>
          </w:p>
        </w:tc>
      </w:tr>
      <w:tr>
        <w:tc>
          <w:tcPr>
            <w:tcW w:type="dxa" w:w="5040"/>
          </w:tcPr>
          <w:p>
            <w:pPr>
              <w:spacing w:after="0"/>
            </w:pPr>
            <w:r>
              <w:rPr>
                <w:sz w:val="16"/>
              </w:rPr>
              <w:t>Weak assertions</w:t>
            </w:r>
          </w:p>
        </w:tc>
        <w:tc>
          <w:tcPr>
            <w:tcW w:type="dxa" w:w="5040"/>
          </w:tcPr>
          <w:p>
            <w:pPr>
              <w:spacing w:after="0"/>
            </w:pPr>
            <w:r>
              <w:rPr>
                <w:sz w:val="16"/>
              </w:rPr>
              <w:t>Ask what failure each assertion catches; verify status, value, state and side effects.</w:t>
            </w:r>
          </w:p>
        </w:tc>
      </w:tr>
      <w:tr>
        <w:tc>
          <w:tcPr>
            <w:tcW w:type="dxa" w:w="5040"/>
          </w:tcPr>
          <w:p>
            <w:pPr>
              <w:spacing w:after="0"/>
            </w:pPr>
            <w:r>
              <w:rPr>
                <w:sz w:val="16"/>
              </w:rPr>
              <w:t>Tests cannot run</w:t>
            </w:r>
          </w:p>
        </w:tc>
        <w:tc>
          <w:tcPr>
            <w:tcW w:type="dxa" w:w="5040"/>
          </w:tcPr>
          <w:p>
            <w:pPr>
              <w:spacing w:after="0"/>
            </w:pPr>
            <w:r>
              <w:rPr>
                <w:sz w:val="16"/>
              </w:rPr>
              <w:t>Report setup/environment blocker; do not claim pass.</w:t>
            </w:r>
          </w:p>
        </w:tc>
      </w:tr>
      <w:tr>
        <w:tc>
          <w:tcPr>
            <w:tcW w:type="dxa" w:w="5040"/>
          </w:tcPr>
          <w:p>
            <w:pPr>
              <w:spacing w:after="0"/>
            </w:pPr>
            <w:r>
              <w:rPr>
                <w:sz w:val="16"/>
              </w:rPr>
              <w:t>Generated tests alter production code</w:t>
            </w:r>
          </w:p>
        </w:tc>
        <w:tc>
          <w:tcPr>
            <w:tcW w:type="dxa" w:w="5040"/>
          </w:tcPr>
          <w:p>
            <w:pPr>
              <w:spacing w:after="0"/>
            </w:pPr>
            <w:r>
              <w:rPr>
                <w:sz w:val="16"/>
              </w:rPr>
              <w:t>Stop and review diff; revert unrelated changes and restate scope.</w:t>
            </w:r>
          </w:p>
        </w:tc>
      </w:tr>
      <w:tr>
        <w:tc>
          <w:tcPr>
            <w:tcW w:type="dxa" w:w="5040"/>
          </w:tcPr>
          <w:p>
            <w:pPr>
              <w:spacing w:after="0"/>
            </w:pPr>
            <w:r>
              <w:rPr>
                <w:sz w:val="16"/>
              </w:rPr>
              <w:t>Unsubstantiated 100% coverage</w:t>
            </w:r>
          </w:p>
        </w:tc>
        <w:tc>
          <w:tcPr>
            <w:tcW w:type="dxa" w:w="5040"/>
          </w:tcPr>
          <w:p>
            <w:pPr>
              <w:spacing w:after="0"/>
            </w:pPr>
            <w:r>
              <w:rPr>
                <w:sz w:val="16"/>
              </w:rPr>
              <w:t>Ask which metric was measured and require evidence or label coverage unverified.</w:t>
            </w:r>
          </w:p>
        </w:tc>
      </w:tr>
    </w:tbl>
    <w:p/>
    <w:p>
      <w:pPr>
        <w:pStyle w:val="Heading1"/>
      </w:pPr>
      <w:r>
        <w:t>9. Final deliverables</w:t>
      </w:r>
    </w:p>
    <w:p>
      <w:pPr>
        <w:pStyle w:val="ListBullet"/>
        <w:spacing w:after="40"/>
      </w:pPr>
      <w:r>
        <w:t>Governed test plan in Markdown or the team's standard format.</w:t>
      </w:r>
    </w:p>
    <w:p>
      <w:pPr>
        <w:pStyle w:val="ListBullet"/>
        <w:spacing w:after="40"/>
      </w:pPr>
      <w:r>
        <w:t>Complete test case catalogue with preconditions, steps, data and expected results.</w:t>
      </w:r>
    </w:p>
    <w:p>
      <w:pPr>
        <w:pStyle w:val="ListBullet"/>
        <w:spacing w:after="40"/>
      </w:pPr>
      <w:r>
        <w:t>Acceptance-criterion-to-test traceability matrix.</w:t>
      </w:r>
    </w:p>
    <w:p>
      <w:pPr>
        <w:pStyle w:val="ListBullet"/>
        <w:spacing w:after="40"/>
      </w:pPr>
      <w:r>
        <w:t>Existing-versus-new coverage and duplicate analysis.</w:t>
      </w:r>
    </w:p>
    <w:p>
      <w:pPr>
        <w:pStyle w:val="ListBullet"/>
        <w:spacing w:after="40"/>
      </w:pPr>
      <w:r>
        <w:t>Boundary/negative-path matrix with unresolved rules identified.</w:t>
      </w:r>
    </w:p>
    <w:p>
      <w:pPr>
        <w:pStyle w:val="ListBullet"/>
        <w:spacing w:after="40"/>
      </w:pPr>
      <w:r>
        <w:t>Weak-test review with evidence and improved assertions.</w:t>
      </w:r>
    </w:p>
    <w:p>
      <w:pPr>
        <w:pStyle w:val="ListBullet"/>
        <w:spacing w:after="40"/>
      </w:pPr>
      <w:r>
        <w:t>Execution report with actual commands/results or explicit blockers.</w:t>
      </w:r>
    </w:p>
    <w:p>
      <w:pPr>
        <w:pStyle w:val="Heading1"/>
      </w:pPr>
      <w:r>
        <w:t>10. Suggested closing message</w:t>
      </w:r>
    </w:p>
    <w:p>
      <w:r>
        <w:t>“The value of Devin in QA is not the number of test cases it creates. The value is whether it understands approved requirements, uses existing test assets, adds meaningful coverage, traces every case to a criterion, challenges weak assertions, and reports only verified results. Human review remains essential for business-rule decisions, risk acceptance and release readiness.”</w:t>
      </w:r>
    </w:p>
    <w:p>
      <w:pPr>
        <w:pStyle w:val="Heading1"/>
      </w:pPr>
      <w:r>
        <w:t>Appendix A — Quick prompt sequence</w:t>
      </w:r>
    </w:p>
    <w:tbl>
      <w:tblPr>
        <w:tblStyle w:val="TableGrid"/>
        <w:tblW w:type="auto" w:w="0"/>
        <w:tblLook w:firstColumn="1" w:firstRow="1" w:lastColumn="0" w:lastRow="0" w:noHBand="0" w:noVBand="1" w:val="04A0"/>
      </w:tblPr>
      <w:tblGrid>
        <w:gridCol w:w="3360"/>
        <w:gridCol w:w="3360"/>
        <w:gridCol w:w="3360"/>
      </w:tblGrid>
      <w:tr>
        <w:tc>
          <w:tcPr>
            <w:tcW w:type="dxa" w:w="3360"/>
            <w:shd w:fill="17365D"/>
          </w:tcPr>
          <w:p>
            <w:r>
              <w:rPr>
                <w:b/>
                <w:color w:val="FFFFFF"/>
                <w:sz w:val="16"/>
              </w:rPr>
              <w:t>Order</w:t>
            </w:r>
          </w:p>
        </w:tc>
        <w:tc>
          <w:tcPr>
            <w:tcW w:type="dxa" w:w="3360"/>
            <w:shd w:fill="17365D"/>
          </w:tcPr>
          <w:p>
            <w:r>
              <w:rPr>
                <w:b/>
                <w:color w:val="FFFFFF"/>
                <w:sz w:val="16"/>
              </w:rPr>
              <w:t>Purpose</w:t>
            </w:r>
          </w:p>
        </w:tc>
        <w:tc>
          <w:tcPr>
            <w:tcW w:type="dxa" w:w="3360"/>
            <w:shd w:fill="17365D"/>
          </w:tcPr>
          <w:p>
            <w:r>
              <w:rPr>
                <w:b/>
                <w:color w:val="FFFFFF"/>
                <w:sz w:val="16"/>
              </w:rPr>
              <w:t>Checkpoint</w:t>
            </w:r>
          </w:p>
        </w:tc>
      </w:tr>
      <w:tr>
        <w:tc>
          <w:tcPr>
            <w:tcW w:type="dxa" w:w="3360"/>
          </w:tcPr>
          <w:p>
            <w:pPr>
              <w:spacing w:after="0"/>
            </w:pPr>
            <w:r>
              <w:rPr>
                <w:sz w:val="16"/>
              </w:rPr>
              <w:t>1</w:t>
            </w:r>
          </w:p>
        </w:tc>
        <w:tc>
          <w:tcPr>
            <w:tcW w:type="dxa" w:w="3360"/>
          </w:tcPr>
          <w:p>
            <w:pPr>
              <w:spacing w:after="0"/>
            </w:pPr>
            <w:r>
              <w:rPr>
                <w:sz w:val="16"/>
              </w:rPr>
              <w:t>Discover repository and requirements</w:t>
            </w:r>
          </w:p>
        </w:tc>
        <w:tc>
          <w:tcPr>
            <w:tcW w:type="dxa" w:w="3360"/>
          </w:tcPr>
          <w:p>
            <w:pPr>
              <w:spacing w:after="0"/>
            </w:pPr>
            <w:r>
              <w:rPr>
                <w:sz w:val="16"/>
              </w:rPr>
              <w:t>Evidence inventory and questions</w:t>
            </w:r>
          </w:p>
        </w:tc>
      </w:tr>
      <w:tr>
        <w:tc>
          <w:tcPr>
            <w:tcW w:type="dxa" w:w="3360"/>
          </w:tcPr>
          <w:p>
            <w:pPr>
              <w:spacing w:after="0"/>
            </w:pPr>
            <w:r>
              <w:rPr>
                <w:sz w:val="16"/>
              </w:rPr>
              <w:t>2</w:t>
            </w:r>
          </w:p>
        </w:tc>
        <w:tc>
          <w:tcPr>
            <w:tcW w:type="dxa" w:w="3360"/>
          </w:tcPr>
          <w:p>
            <w:pPr>
              <w:spacing w:after="0"/>
            </w:pPr>
            <w:r>
              <w:rPr>
                <w:sz w:val="16"/>
              </w:rPr>
              <w:t>Make criteria testable</w:t>
            </w:r>
          </w:p>
        </w:tc>
        <w:tc>
          <w:tcPr>
            <w:tcW w:type="dxa" w:w="3360"/>
          </w:tcPr>
          <w:p>
            <w:pPr>
              <w:spacing w:after="0"/>
            </w:pPr>
            <w:r>
              <w:rPr>
                <w:sz w:val="16"/>
              </w:rPr>
              <w:t>Approved criteria or clarification list</w:t>
            </w:r>
          </w:p>
        </w:tc>
      </w:tr>
      <w:tr>
        <w:tc>
          <w:tcPr>
            <w:tcW w:type="dxa" w:w="3360"/>
          </w:tcPr>
          <w:p>
            <w:pPr>
              <w:spacing w:after="0"/>
            </w:pPr>
            <w:r>
              <w:rPr>
                <w:sz w:val="16"/>
              </w:rPr>
              <w:t>3</w:t>
            </w:r>
          </w:p>
        </w:tc>
        <w:tc>
          <w:tcPr>
            <w:tcW w:type="dxa" w:w="3360"/>
          </w:tcPr>
          <w:p>
            <w:pPr>
              <w:spacing w:after="0"/>
            </w:pPr>
            <w:r>
              <w:rPr>
                <w:sz w:val="16"/>
              </w:rPr>
              <w:t>Inspect existing tests and duplicates</w:t>
            </w:r>
          </w:p>
        </w:tc>
        <w:tc>
          <w:tcPr>
            <w:tcW w:type="dxa" w:w="3360"/>
          </w:tcPr>
          <w:p>
            <w:pPr>
              <w:spacing w:after="0"/>
            </w:pPr>
            <w:r>
              <w:rPr>
                <w:sz w:val="16"/>
              </w:rPr>
              <w:t>Coverage baseline and gaps</w:t>
            </w:r>
          </w:p>
        </w:tc>
      </w:tr>
      <w:tr>
        <w:tc>
          <w:tcPr>
            <w:tcW w:type="dxa" w:w="3360"/>
          </w:tcPr>
          <w:p>
            <w:pPr>
              <w:spacing w:after="0"/>
            </w:pPr>
            <w:r>
              <w:rPr>
                <w:sz w:val="16"/>
              </w:rPr>
              <w:t>4</w:t>
            </w:r>
          </w:p>
        </w:tc>
        <w:tc>
          <w:tcPr>
            <w:tcW w:type="dxa" w:w="3360"/>
          </w:tcPr>
          <w:p>
            <w:pPr>
              <w:spacing w:after="0"/>
            </w:pPr>
            <w:r>
              <w:rPr>
                <w:sz w:val="16"/>
              </w:rPr>
              <w:t>Draft governed plan</w:t>
            </w:r>
          </w:p>
        </w:tc>
        <w:tc>
          <w:tcPr>
            <w:tcW w:type="dxa" w:w="3360"/>
          </w:tcPr>
          <w:p>
            <w:pPr>
              <w:spacing w:after="0"/>
            </w:pPr>
            <w:r>
              <w:rPr>
                <w:sz w:val="16"/>
              </w:rPr>
              <w:t>Human approval</w:t>
            </w:r>
          </w:p>
        </w:tc>
      </w:tr>
      <w:tr>
        <w:tc>
          <w:tcPr>
            <w:tcW w:type="dxa" w:w="3360"/>
          </w:tcPr>
          <w:p>
            <w:pPr>
              <w:spacing w:after="0"/>
            </w:pPr>
            <w:r>
              <w:rPr>
                <w:sz w:val="16"/>
              </w:rPr>
              <w:t>5</w:t>
            </w:r>
          </w:p>
        </w:tc>
        <w:tc>
          <w:tcPr>
            <w:tcW w:type="dxa" w:w="3360"/>
          </w:tcPr>
          <w:p>
            <w:pPr>
              <w:spacing w:after="0"/>
            </w:pPr>
            <w:r>
              <w:rPr>
                <w:sz w:val="16"/>
              </w:rPr>
              <w:t>Design boundary/negative paths</w:t>
            </w:r>
          </w:p>
        </w:tc>
        <w:tc>
          <w:tcPr>
            <w:tcW w:type="dxa" w:w="3360"/>
          </w:tcPr>
          <w:p>
            <w:pPr>
              <w:spacing w:after="0"/>
            </w:pPr>
            <w:r>
              <w:rPr>
                <w:sz w:val="16"/>
              </w:rPr>
              <w:t>Reviewed cases</w:t>
            </w:r>
          </w:p>
        </w:tc>
      </w:tr>
      <w:tr>
        <w:tc>
          <w:tcPr>
            <w:tcW w:type="dxa" w:w="3360"/>
          </w:tcPr>
          <w:p>
            <w:pPr>
              <w:spacing w:after="0"/>
            </w:pPr>
            <w:r>
              <w:rPr>
                <w:sz w:val="16"/>
              </w:rPr>
              <w:t>6</w:t>
            </w:r>
          </w:p>
        </w:tc>
        <w:tc>
          <w:tcPr>
            <w:tcW w:type="dxa" w:w="3360"/>
          </w:tcPr>
          <w:p>
            <w:pPr>
              <w:spacing w:after="0"/>
            </w:pPr>
            <w:r>
              <w:rPr>
                <w:sz w:val="16"/>
              </w:rPr>
              <w:t>Generate catalogue and traceability</w:t>
            </w:r>
          </w:p>
        </w:tc>
        <w:tc>
          <w:tcPr>
            <w:tcW w:type="dxa" w:w="3360"/>
          </w:tcPr>
          <w:p>
            <w:pPr>
              <w:spacing w:after="0"/>
            </w:pPr>
            <w:r>
              <w:rPr>
                <w:sz w:val="16"/>
              </w:rPr>
              <w:t>Complete linked case set</w:t>
            </w:r>
          </w:p>
        </w:tc>
      </w:tr>
      <w:tr>
        <w:tc>
          <w:tcPr>
            <w:tcW w:type="dxa" w:w="3360"/>
          </w:tcPr>
          <w:p>
            <w:pPr>
              <w:spacing w:after="0"/>
            </w:pPr>
            <w:r>
              <w:rPr>
                <w:sz w:val="16"/>
              </w:rPr>
              <w:t>7</w:t>
            </w:r>
          </w:p>
        </w:tc>
        <w:tc>
          <w:tcPr>
            <w:tcW w:type="dxa" w:w="3360"/>
          </w:tcPr>
          <w:p>
            <w:pPr>
              <w:spacing w:after="0"/>
            </w:pPr>
            <w:r>
              <w:rPr>
                <w:sz w:val="16"/>
              </w:rPr>
              <w:t>Challenge weak tests</w:t>
            </w:r>
          </w:p>
        </w:tc>
        <w:tc>
          <w:tcPr>
            <w:tcW w:type="dxa" w:w="3360"/>
          </w:tcPr>
          <w:p>
            <w:pPr>
              <w:spacing w:after="0"/>
            </w:pPr>
            <w:r>
              <w:rPr>
                <w:sz w:val="16"/>
              </w:rPr>
              <w:t>Improved assertions and rejected cases</w:t>
            </w:r>
          </w:p>
        </w:tc>
      </w:tr>
      <w:tr>
        <w:tc>
          <w:tcPr>
            <w:tcW w:type="dxa" w:w="3360"/>
          </w:tcPr>
          <w:p>
            <w:pPr>
              <w:spacing w:after="0"/>
            </w:pPr>
            <w:r>
              <w:rPr>
                <w:sz w:val="16"/>
              </w:rPr>
              <w:t>8</w:t>
            </w:r>
          </w:p>
        </w:tc>
        <w:tc>
          <w:tcPr>
            <w:tcW w:type="dxa" w:w="3360"/>
          </w:tcPr>
          <w:p>
            <w:pPr>
              <w:spacing w:after="0"/>
            </w:pPr>
            <w:r>
              <w:rPr>
                <w:sz w:val="16"/>
              </w:rPr>
              <w:t>Implement and execute approved tests</w:t>
            </w:r>
          </w:p>
        </w:tc>
        <w:tc>
          <w:tcPr>
            <w:tcW w:type="dxa" w:w="3360"/>
          </w:tcPr>
          <w:p>
            <w:pPr>
              <w:spacing w:after="0"/>
            </w:pPr>
            <w:r>
              <w:rPr>
                <w:sz w:val="16"/>
              </w:rPr>
              <w:t>Actual execution report</w:t>
            </w:r>
          </w:p>
        </w:tc>
      </w:tr>
    </w:tbl>
    <w:p/>
    <w:p>
      <w:pPr>
        <w:pStyle w:val="Heading1"/>
      </w:pPr>
      <w:r>
        <w:t>Appendix B — Suggested artefact names</w:t>
      </w:r>
    </w:p>
    <w:p>
      <w:pPr>
        <w:pStyle w:val="ListBullet"/>
        <w:spacing w:after="40"/>
      </w:pPr>
      <w:r>
        <w:t>docs/qa/points-scheme-test-plan.md</w:t>
      </w:r>
    </w:p>
    <w:p>
      <w:pPr>
        <w:pStyle w:val="ListBullet"/>
        <w:spacing w:after="40"/>
      </w:pPr>
      <w:r>
        <w:t>docs/qa/points-scheme-test-cases.md</w:t>
      </w:r>
    </w:p>
    <w:p>
      <w:pPr>
        <w:pStyle w:val="ListBullet"/>
        <w:spacing w:after="40"/>
      </w:pPr>
      <w:r>
        <w:t>docs/qa/points-scheme-traceability.md</w:t>
      </w:r>
    </w:p>
    <w:p>
      <w:pPr>
        <w:pStyle w:val="ListBullet"/>
        <w:spacing w:after="40"/>
      </w:pPr>
      <w:r>
        <w:t>docs/qa/points-scheme-open-questions.md</w:t>
      </w:r>
    </w:p>
    <w:p>
      <w:pPr>
        <w:pStyle w:val="ListBullet"/>
        <w:spacing w:after="40"/>
      </w:pPr>
      <w:r>
        <w:t>docs/qa/points-scheme-execution-report.md</w:t>
      </w:r>
    </w:p>
    <w:p>
      <w:r>
        <w:t>Suggested names only; follow the repository's existing documentation conventions where available.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Facilitator Guide | Synthetic training scenario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DEVIN AI • QA TEST DESIGN WORKSHOP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