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Problem 1</w:t>
      </w:r>
    </w:p>
    <w:p>
      <w:pPr>
        <w:numPr>
          <w:ilvl w:val="0"/>
          <w:numId w:val="1"/>
        </w:numPr>
        <w:ind w:firstLine="0" w:firstLineChars="0"/>
        <w:rPr>
          <w:rFonts w:hint="default"/>
        </w:rPr>
      </w:pPr>
      <w:r>
        <w:rPr>
          <w:rFonts w:hint="default"/>
        </w:rPr>
        <w:t>Plot points on sphere</w:t>
      </w:r>
    </w:p>
    <w:p>
      <w:pPr>
        <w:numPr>
          <w:numId w:val="0"/>
        </w:numPr>
        <w:rPr>
          <w:rFonts w:hint="default"/>
        </w:rPr>
      </w:pPr>
      <w:r>
        <w:drawing>
          <wp:anchor distT="0" distB="0" distL="114300" distR="114300" simplePos="0" relativeHeight="251658240" behindDoc="1" locked="0" layoutInCell="1" allowOverlap="1">
            <wp:simplePos x="0" y="0"/>
            <wp:positionH relativeFrom="column">
              <wp:posOffset>2695575</wp:posOffset>
            </wp:positionH>
            <wp:positionV relativeFrom="paragraph">
              <wp:posOffset>5080</wp:posOffset>
            </wp:positionV>
            <wp:extent cx="3001645" cy="2896235"/>
            <wp:effectExtent l="0" t="0" r="71755" b="50165"/>
            <wp:wrapTight wrapText="bothSides">
              <wp:wrapPolygon>
                <wp:start x="0" y="0"/>
                <wp:lineTo x="0" y="21406"/>
                <wp:lineTo x="21385" y="21406"/>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001645" cy="2896235"/>
                    </a:xfrm>
                    <a:prstGeom prst="rect">
                      <a:avLst/>
                    </a:prstGeom>
                    <a:noFill/>
                    <a:ln w="9525">
                      <a:noFill/>
                    </a:ln>
                  </pic:spPr>
                </pic:pic>
              </a:graphicData>
            </a:graphic>
          </wp:anchor>
        </w:drawing>
      </w:r>
      <w:r>
        <w:rPr>
          <w:rFonts w:hint="default"/>
        </w:rPr>
        <w:t>I use three random variable x, y, z with standard normal distribution, and then I calculate lamda = sqrt(x^2 + y^2 + z^2). The point(x / lamda, y / lamda, z / lamda) must be on the surface of the sphere. Generate 1000 of those points and plot then using matplotlib.</w:t>
      </w:r>
    </w:p>
    <w:p>
      <w:pPr>
        <w:numPr>
          <w:numId w:val="0"/>
        </w:numPr>
        <w:rPr>
          <w:rFonts w:hint="default"/>
        </w:rPr>
      </w:pPr>
    </w:p>
    <w:p>
      <w:pPr>
        <w:numPr>
          <w:ilvl w:val="0"/>
          <w:numId w:val="1"/>
        </w:numPr>
        <w:ind w:firstLine="0" w:firstLineChars="0"/>
        <w:rPr>
          <w:rFonts w:hint="default"/>
        </w:rPr>
      </w:pPr>
      <w:r>
        <w:rPr>
          <w:rFonts w:hint="default"/>
        </w:rPr>
        <w:t>Estimate area of Africa &amp; Antarctica</w:t>
      </w:r>
    </w:p>
    <w:p>
      <w:pPr>
        <w:numPr>
          <w:numId w:val="0"/>
        </w:numPr>
        <w:rPr>
          <w:rFonts w:hint="default"/>
        </w:rPr>
      </w:pPr>
      <w:r>
        <w:rPr>
          <w:rFonts w:hint="default"/>
        </w:rPr>
        <w:t>I estimate the area of Africa using a triangle, whose height spans central 60% of the latitude, and width spans 1/5 of the longitude. Points within the triangle are counted as in Africa. The green points showing to the right are points in Africa. By calculating points in Africa over total points, P(Points in Africa) = 0.068. Given that the total surface area of earth is 510.1M km^2, the estimate area of Africa is 34.69M km^2.</w:t>
      </w:r>
    </w:p>
    <w:p>
      <w:pPr>
        <w:numPr>
          <w:numId w:val="0"/>
        </w:numPr>
        <w:rPr>
          <w:rFonts w:hint="default"/>
        </w:rPr>
      </w:pPr>
      <w:r>
        <w:drawing>
          <wp:anchor distT="0" distB="0" distL="114300" distR="114300" simplePos="0" relativeHeight="251659264" behindDoc="1" locked="0" layoutInCell="1" allowOverlap="1">
            <wp:simplePos x="0" y="0"/>
            <wp:positionH relativeFrom="column">
              <wp:posOffset>2912110</wp:posOffset>
            </wp:positionH>
            <wp:positionV relativeFrom="paragraph">
              <wp:posOffset>154305</wp:posOffset>
            </wp:positionV>
            <wp:extent cx="2880360" cy="2488565"/>
            <wp:effectExtent l="0" t="0" r="15240" b="635"/>
            <wp:wrapTight wrapText="bothSides">
              <wp:wrapPolygon>
                <wp:start x="190" y="0"/>
                <wp:lineTo x="0" y="661"/>
                <wp:lineTo x="0" y="21385"/>
                <wp:lineTo x="21333" y="21385"/>
                <wp:lineTo x="21333" y="0"/>
                <wp:lineTo x="19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2880360" cy="2488565"/>
                    </a:xfrm>
                    <a:prstGeom prst="rect">
                      <a:avLst/>
                    </a:prstGeom>
                    <a:noFill/>
                    <a:ln w="9525">
                      <a:noFill/>
                    </a:ln>
                  </pic:spPr>
                </pic:pic>
              </a:graphicData>
            </a:graphic>
          </wp:anchor>
        </w:drawing>
      </w:r>
    </w:p>
    <w:p>
      <w:pPr>
        <w:numPr>
          <w:numId w:val="0"/>
        </w:numPr>
        <w:rPr>
          <w:rFonts w:hint="default"/>
        </w:rPr>
      </w:pPr>
      <w:r>
        <w:rPr>
          <w:rFonts w:hint="default"/>
        </w:rPr>
        <w:t xml:space="preserve">I estimate the area of Antarctica using a round, whose height is 2.75% of the lowest latitude. Count the points in Antarctica, orange points represent points in Antarctica (shown right) </w:t>
      </w:r>
      <w:r>
        <w:rPr>
          <w:rFonts w:hint="default"/>
        </w:rPr>
        <w:t xml:space="preserve">By calculating points in </w:t>
      </w:r>
      <w:r>
        <w:rPr>
          <w:rFonts w:hint="default"/>
        </w:rPr>
        <w:t xml:space="preserve">Antarctica </w:t>
      </w:r>
      <w:r>
        <w:rPr>
          <w:rFonts w:hint="default"/>
        </w:rPr>
        <w:t>over total points</w:t>
      </w:r>
      <w:r>
        <w:rPr>
          <w:rFonts w:hint="default"/>
        </w:rPr>
        <w:t xml:space="preserve">, P(Points in Antarctica) = 0.024, so the estimate area of </w:t>
      </w:r>
      <w:r>
        <w:rPr>
          <w:rFonts w:hint="default"/>
        </w:rPr>
        <w:t>Antarctica</w:t>
      </w:r>
      <w:r>
        <w:rPr>
          <w:rFonts w:hint="default"/>
        </w:rPr>
        <w:t xml:space="preserve"> is 12.24M km^2</w:t>
      </w:r>
    </w:p>
    <w:p>
      <w:pPr>
        <w:numPr>
          <w:numId w:val="0"/>
        </w:numPr>
        <w:rPr>
          <w:rFonts w:hint="default"/>
        </w:rPr>
      </w:pPr>
    </w:p>
    <w:p>
      <w:pPr>
        <w:numPr>
          <w:numId w:val="0"/>
        </w:numPr>
        <w:rPr>
          <w:rFonts w:hint="default"/>
        </w:rPr>
      </w:pPr>
      <w:r>
        <w:rPr>
          <w:rFonts w:hint="default"/>
        </w:rPr>
        <w:t>Do the estimation for 10 times with 1000 points, 10 times with 10000 points, we get table below</w:t>
      </w:r>
    </w:p>
    <w:p>
      <w:pPr>
        <w:numPr>
          <w:numId w:val="0"/>
        </w:numPr>
        <w:rPr>
          <w:rFonts w:hint="default"/>
        </w:rPr>
      </w:pPr>
    </w:p>
    <w:p>
      <w:pPr>
        <w:numPr>
          <w:numId w:val="0"/>
        </w:numPr>
        <w:rPr>
          <w:rFonts w:hint="default"/>
        </w:rPr>
      </w:pPr>
      <w:r>
        <w:rPr>
          <w:rFonts w:hint="default"/>
        </w:rPr>
        <w:t>1000 points: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56"/>
        <w:gridCol w:w="746"/>
        <w:gridCol w:w="746"/>
        <w:gridCol w:w="746"/>
        <w:gridCol w:w="746"/>
        <w:gridCol w:w="747"/>
        <w:gridCol w:w="747"/>
        <w:gridCol w:w="747"/>
        <w:gridCol w:w="747"/>
        <w:gridCol w:w="747"/>
        <w:gridCol w:w="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tcPr>
          <w:p>
            <w:pPr>
              <w:numPr>
                <w:numId w:val="0"/>
              </w:numPr>
              <w:rPr>
                <w:rFonts w:hint="default"/>
                <w:vertAlign w:val="baseline"/>
              </w:rPr>
            </w:pPr>
          </w:p>
        </w:tc>
        <w:tc>
          <w:tcPr>
            <w:tcW w:w="774" w:type="dxa"/>
          </w:tcPr>
          <w:p>
            <w:pPr>
              <w:numPr>
                <w:numId w:val="0"/>
              </w:numPr>
              <w:rPr>
                <w:rFonts w:hint="default"/>
                <w:vertAlign w:val="baseline"/>
              </w:rPr>
            </w:pPr>
            <w:r>
              <w:rPr>
                <w:rFonts w:hint="default"/>
                <w:vertAlign w:val="baseline"/>
              </w:rPr>
              <w:t>1</w:t>
            </w:r>
          </w:p>
        </w:tc>
        <w:tc>
          <w:tcPr>
            <w:tcW w:w="774" w:type="dxa"/>
          </w:tcPr>
          <w:p>
            <w:pPr>
              <w:numPr>
                <w:numId w:val="0"/>
              </w:numPr>
              <w:rPr>
                <w:rFonts w:hint="default"/>
                <w:vertAlign w:val="baseline"/>
              </w:rPr>
            </w:pPr>
            <w:r>
              <w:rPr>
                <w:rFonts w:hint="default"/>
                <w:vertAlign w:val="baseline"/>
              </w:rPr>
              <w:t>2</w:t>
            </w:r>
          </w:p>
        </w:tc>
        <w:tc>
          <w:tcPr>
            <w:tcW w:w="774" w:type="dxa"/>
          </w:tcPr>
          <w:p>
            <w:pPr>
              <w:numPr>
                <w:numId w:val="0"/>
              </w:numPr>
              <w:rPr>
                <w:rFonts w:hint="default"/>
                <w:vertAlign w:val="baseline"/>
              </w:rPr>
            </w:pPr>
            <w:r>
              <w:rPr>
                <w:rFonts w:hint="default"/>
                <w:vertAlign w:val="baseline"/>
              </w:rPr>
              <w:t>3</w:t>
            </w:r>
          </w:p>
        </w:tc>
        <w:tc>
          <w:tcPr>
            <w:tcW w:w="774" w:type="dxa"/>
          </w:tcPr>
          <w:p>
            <w:pPr>
              <w:numPr>
                <w:numId w:val="0"/>
              </w:numPr>
              <w:rPr>
                <w:rFonts w:hint="default"/>
                <w:vertAlign w:val="baseline"/>
              </w:rPr>
            </w:pPr>
            <w:r>
              <w:rPr>
                <w:rFonts w:hint="default"/>
                <w:vertAlign w:val="baseline"/>
              </w:rPr>
              <w:t>4</w:t>
            </w:r>
          </w:p>
        </w:tc>
        <w:tc>
          <w:tcPr>
            <w:tcW w:w="774" w:type="dxa"/>
          </w:tcPr>
          <w:p>
            <w:pPr>
              <w:numPr>
                <w:numId w:val="0"/>
              </w:numPr>
              <w:rPr>
                <w:rFonts w:hint="default"/>
                <w:vertAlign w:val="baseline"/>
              </w:rPr>
            </w:pPr>
            <w:r>
              <w:rPr>
                <w:rFonts w:hint="default"/>
                <w:vertAlign w:val="baseline"/>
              </w:rPr>
              <w:t>5</w:t>
            </w:r>
          </w:p>
        </w:tc>
        <w:tc>
          <w:tcPr>
            <w:tcW w:w="774" w:type="dxa"/>
          </w:tcPr>
          <w:p>
            <w:pPr>
              <w:numPr>
                <w:numId w:val="0"/>
              </w:numPr>
              <w:rPr>
                <w:rFonts w:hint="default"/>
                <w:vertAlign w:val="baseline"/>
              </w:rPr>
            </w:pPr>
            <w:r>
              <w:rPr>
                <w:rFonts w:hint="default"/>
                <w:vertAlign w:val="baseline"/>
              </w:rPr>
              <w:t>6</w:t>
            </w:r>
          </w:p>
        </w:tc>
        <w:tc>
          <w:tcPr>
            <w:tcW w:w="774" w:type="dxa"/>
          </w:tcPr>
          <w:p>
            <w:pPr>
              <w:numPr>
                <w:numId w:val="0"/>
              </w:numPr>
              <w:rPr>
                <w:rFonts w:hint="default"/>
                <w:vertAlign w:val="baseline"/>
              </w:rPr>
            </w:pPr>
            <w:r>
              <w:rPr>
                <w:rFonts w:hint="default"/>
                <w:vertAlign w:val="baseline"/>
              </w:rPr>
              <w:t>7</w:t>
            </w:r>
          </w:p>
        </w:tc>
        <w:tc>
          <w:tcPr>
            <w:tcW w:w="775" w:type="dxa"/>
          </w:tcPr>
          <w:p>
            <w:pPr>
              <w:numPr>
                <w:numId w:val="0"/>
              </w:numPr>
              <w:rPr>
                <w:rFonts w:hint="default"/>
                <w:vertAlign w:val="baseline"/>
              </w:rPr>
            </w:pPr>
            <w:r>
              <w:rPr>
                <w:rFonts w:hint="default"/>
                <w:vertAlign w:val="baseline"/>
              </w:rPr>
              <w:t>8</w:t>
            </w:r>
          </w:p>
        </w:tc>
        <w:tc>
          <w:tcPr>
            <w:tcW w:w="775" w:type="dxa"/>
          </w:tcPr>
          <w:p>
            <w:pPr>
              <w:numPr>
                <w:numId w:val="0"/>
              </w:numPr>
              <w:rPr>
                <w:rFonts w:hint="default"/>
                <w:vertAlign w:val="baseline"/>
              </w:rPr>
            </w:pPr>
            <w:r>
              <w:rPr>
                <w:rFonts w:hint="default"/>
                <w:vertAlign w:val="baseline"/>
              </w:rPr>
              <w:t>9</w:t>
            </w:r>
          </w:p>
        </w:tc>
        <w:tc>
          <w:tcPr>
            <w:tcW w:w="775" w:type="dxa"/>
          </w:tcPr>
          <w:p>
            <w:pPr>
              <w:numPr>
                <w:numId w:val="0"/>
              </w:numPr>
              <w:rPr>
                <w:rFonts w:hint="default"/>
                <w:vertAlign w:val="baseline"/>
              </w:rPr>
            </w:pPr>
            <w:r>
              <w:rPr>
                <w:rFonts w:hint="default"/>
                <w:vertAlign w:val="baseline"/>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74" w:type="dxa"/>
          </w:tcPr>
          <w:p>
            <w:pPr>
              <w:numPr>
                <w:numId w:val="0"/>
              </w:numPr>
              <w:rPr>
                <w:rFonts w:hint="default"/>
                <w:vertAlign w:val="baseline"/>
              </w:rPr>
            </w:pPr>
            <w:r>
              <w:rPr>
                <w:rFonts w:hint="default"/>
                <w:vertAlign w:val="baseline"/>
              </w:rPr>
              <w:t>Antarctic</w:t>
            </w:r>
          </w:p>
        </w:tc>
        <w:tc>
          <w:tcPr>
            <w:tcW w:w="774" w:type="dxa"/>
          </w:tcPr>
          <w:p>
            <w:pPr>
              <w:numPr>
                <w:numId w:val="0"/>
              </w:numPr>
              <w:rPr>
                <w:rFonts w:hint="default"/>
                <w:vertAlign w:val="baseline"/>
              </w:rPr>
            </w:pPr>
            <w:r>
              <w:rPr>
                <w:rFonts w:hint="default"/>
                <w:vertAlign w:val="baseline"/>
              </w:rPr>
              <w:t>16.32</w:t>
            </w:r>
          </w:p>
        </w:tc>
        <w:tc>
          <w:tcPr>
            <w:tcW w:w="774" w:type="dxa"/>
          </w:tcPr>
          <w:p>
            <w:pPr>
              <w:numPr>
                <w:numId w:val="0"/>
              </w:numPr>
              <w:rPr>
                <w:rFonts w:hint="default"/>
                <w:vertAlign w:val="baseline"/>
              </w:rPr>
            </w:pPr>
            <w:r>
              <w:rPr>
                <w:rFonts w:hint="default"/>
                <w:vertAlign w:val="baseline"/>
              </w:rPr>
              <w:t>14.28</w:t>
            </w:r>
          </w:p>
        </w:tc>
        <w:tc>
          <w:tcPr>
            <w:tcW w:w="774" w:type="dxa"/>
          </w:tcPr>
          <w:p>
            <w:pPr>
              <w:numPr>
                <w:numId w:val="0"/>
              </w:numPr>
              <w:rPr>
                <w:rFonts w:hint="default"/>
                <w:vertAlign w:val="baseline"/>
              </w:rPr>
            </w:pPr>
            <w:r>
              <w:rPr>
                <w:rFonts w:hint="default"/>
                <w:vertAlign w:val="baseline"/>
              </w:rPr>
              <w:t>13.77</w:t>
            </w:r>
          </w:p>
        </w:tc>
        <w:tc>
          <w:tcPr>
            <w:tcW w:w="774" w:type="dxa"/>
          </w:tcPr>
          <w:p>
            <w:pPr>
              <w:numPr>
                <w:numId w:val="0"/>
              </w:numPr>
              <w:rPr>
                <w:rFonts w:hint="default"/>
                <w:vertAlign w:val="baseline"/>
              </w:rPr>
            </w:pPr>
            <w:r>
              <w:rPr>
                <w:rFonts w:hint="default"/>
                <w:vertAlign w:val="baseline"/>
              </w:rPr>
              <w:t>10.71</w:t>
            </w:r>
          </w:p>
        </w:tc>
        <w:tc>
          <w:tcPr>
            <w:tcW w:w="774" w:type="dxa"/>
          </w:tcPr>
          <w:p>
            <w:pPr>
              <w:numPr>
                <w:numId w:val="0"/>
              </w:numPr>
              <w:rPr>
                <w:rFonts w:hint="default"/>
                <w:vertAlign w:val="baseline"/>
              </w:rPr>
            </w:pPr>
            <w:r>
              <w:rPr>
                <w:rFonts w:hint="default"/>
                <w:vertAlign w:val="baseline"/>
              </w:rPr>
              <w:t>13.71</w:t>
            </w:r>
          </w:p>
        </w:tc>
        <w:tc>
          <w:tcPr>
            <w:tcW w:w="774" w:type="dxa"/>
          </w:tcPr>
          <w:p>
            <w:pPr>
              <w:numPr>
                <w:numId w:val="0"/>
              </w:numPr>
              <w:rPr>
                <w:rFonts w:hint="default"/>
                <w:vertAlign w:val="baseline"/>
              </w:rPr>
            </w:pPr>
            <w:r>
              <w:rPr>
                <w:rFonts w:hint="default"/>
                <w:vertAlign w:val="baseline"/>
              </w:rPr>
              <w:t>15.81</w:t>
            </w:r>
          </w:p>
        </w:tc>
        <w:tc>
          <w:tcPr>
            <w:tcW w:w="774" w:type="dxa"/>
          </w:tcPr>
          <w:p>
            <w:pPr>
              <w:numPr>
                <w:numId w:val="0"/>
              </w:numPr>
              <w:rPr>
                <w:rFonts w:hint="default"/>
                <w:vertAlign w:val="baseline"/>
              </w:rPr>
            </w:pPr>
            <w:r>
              <w:rPr>
                <w:rFonts w:hint="default"/>
                <w:vertAlign w:val="baseline"/>
              </w:rPr>
              <w:t>14.34</w:t>
            </w:r>
          </w:p>
        </w:tc>
        <w:tc>
          <w:tcPr>
            <w:tcW w:w="775" w:type="dxa"/>
          </w:tcPr>
          <w:p>
            <w:pPr>
              <w:numPr>
                <w:numId w:val="0"/>
              </w:numPr>
              <w:rPr>
                <w:rFonts w:hint="default"/>
                <w:vertAlign w:val="baseline"/>
              </w:rPr>
            </w:pPr>
            <w:r>
              <w:rPr>
                <w:rFonts w:hint="default"/>
                <w:vertAlign w:val="baseline"/>
              </w:rPr>
              <w:t>11.22</w:t>
            </w:r>
          </w:p>
        </w:tc>
        <w:tc>
          <w:tcPr>
            <w:tcW w:w="775" w:type="dxa"/>
          </w:tcPr>
          <w:p>
            <w:pPr>
              <w:numPr>
                <w:numId w:val="0"/>
              </w:numPr>
              <w:rPr>
                <w:rFonts w:hint="default"/>
                <w:vertAlign w:val="baseline"/>
              </w:rPr>
            </w:pPr>
            <w:r>
              <w:rPr>
                <w:rFonts w:hint="default"/>
                <w:vertAlign w:val="baseline"/>
              </w:rPr>
              <w:t>13.77</w:t>
            </w:r>
          </w:p>
        </w:tc>
        <w:tc>
          <w:tcPr>
            <w:tcW w:w="775" w:type="dxa"/>
          </w:tcPr>
          <w:p>
            <w:pPr>
              <w:numPr>
                <w:numId w:val="0"/>
              </w:numPr>
              <w:rPr>
                <w:rFonts w:hint="default"/>
                <w:vertAlign w:val="baseline"/>
              </w:rPr>
            </w:pPr>
            <w:r>
              <w:rPr>
                <w:rFonts w:hint="default"/>
                <w:vertAlign w:val="baseline"/>
              </w:rPr>
              <w:t>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2" w:hRule="atLeast"/>
        </w:trPr>
        <w:tc>
          <w:tcPr>
            <w:tcW w:w="774" w:type="dxa"/>
          </w:tcPr>
          <w:p>
            <w:pPr>
              <w:numPr>
                <w:numId w:val="0"/>
              </w:numPr>
              <w:rPr>
                <w:rFonts w:hint="default"/>
                <w:vertAlign w:val="baseline"/>
              </w:rPr>
            </w:pPr>
            <w:r>
              <w:rPr>
                <w:rFonts w:hint="default"/>
                <w:vertAlign w:val="baseline"/>
              </w:rPr>
              <w:t>Africa</w:t>
            </w:r>
          </w:p>
        </w:tc>
        <w:tc>
          <w:tcPr>
            <w:tcW w:w="774" w:type="dxa"/>
          </w:tcPr>
          <w:p>
            <w:pPr>
              <w:numPr>
                <w:numId w:val="0"/>
              </w:numPr>
              <w:rPr>
                <w:rFonts w:hint="default"/>
                <w:vertAlign w:val="baseline"/>
              </w:rPr>
            </w:pPr>
            <w:r>
              <w:rPr>
                <w:rFonts w:hint="default"/>
                <w:vertAlign w:val="baseline"/>
              </w:rPr>
              <w:t>35.20</w:t>
            </w:r>
          </w:p>
        </w:tc>
        <w:tc>
          <w:tcPr>
            <w:tcW w:w="774" w:type="dxa"/>
          </w:tcPr>
          <w:p>
            <w:pPr>
              <w:numPr>
                <w:numId w:val="0"/>
              </w:numPr>
              <w:rPr>
                <w:rFonts w:hint="default"/>
                <w:vertAlign w:val="baseline"/>
              </w:rPr>
            </w:pPr>
            <w:r>
              <w:rPr>
                <w:rFonts w:hint="default"/>
                <w:vertAlign w:val="baseline"/>
              </w:rPr>
              <w:t>32.65</w:t>
            </w:r>
          </w:p>
        </w:tc>
        <w:tc>
          <w:tcPr>
            <w:tcW w:w="774" w:type="dxa"/>
          </w:tcPr>
          <w:p>
            <w:pPr>
              <w:numPr>
                <w:numId w:val="0"/>
              </w:numPr>
              <w:rPr>
                <w:rFonts w:hint="default"/>
                <w:vertAlign w:val="baseline"/>
              </w:rPr>
            </w:pPr>
            <w:r>
              <w:rPr>
                <w:rFonts w:hint="default"/>
                <w:vertAlign w:val="baseline"/>
              </w:rPr>
              <w:t>23.97</w:t>
            </w:r>
          </w:p>
        </w:tc>
        <w:tc>
          <w:tcPr>
            <w:tcW w:w="774" w:type="dxa"/>
          </w:tcPr>
          <w:p>
            <w:pPr>
              <w:numPr>
                <w:numId w:val="0"/>
              </w:numPr>
              <w:rPr>
                <w:rFonts w:hint="default"/>
                <w:vertAlign w:val="baseline"/>
              </w:rPr>
            </w:pPr>
            <w:r>
              <w:rPr>
                <w:rFonts w:hint="default"/>
                <w:vertAlign w:val="baseline"/>
              </w:rPr>
              <w:t>27.55</w:t>
            </w:r>
          </w:p>
        </w:tc>
        <w:tc>
          <w:tcPr>
            <w:tcW w:w="774" w:type="dxa"/>
          </w:tcPr>
          <w:p>
            <w:pPr>
              <w:numPr>
                <w:numId w:val="0"/>
              </w:numPr>
              <w:rPr>
                <w:rFonts w:hint="default"/>
                <w:vertAlign w:val="baseline"/>
              </w:rPr>
            </w:pPr>
            <w:r>
              <w:rPr>
                <w:rFonts w:hint="default"/>
                <w:vertAlign w:val="baseline"/>
              </w:rPr>
              <w:t>30.10</w:t>
            </w:r>
          </w:p>
        </w:tc>
        <w:tc>
          <w:tcPr>
            <w:tcW w:w="774" w:type="dxa"/>
          </w:tcPr>
          <w:p>
            <w:pPr>
              <w:numPr>
                <w:numId w:val="0"/>
              </w:numPr>
              <w:rPr>
                <w:rFonts w:hint="default"/>
                <w:vertAlign w:val="baseline"/>
              </w:rPr>
            </w:pPr>
            <w:r>
              <w:rPr>
                <w:rFonts w:hint="default"/>
                <w:vertAlign w:val="baseline"/>
              </w:rPr>
              <w:t>32.14</w:t>
            </w:r>
          </w:p>
        </w:tc>
        <w:tc>
          <w:tcPr>
            <w:tcW w:w="774" w:type="dxa"/>
          </w:tcPr>
          <w:p>
            <w:pPr>
              <w:numPr>
                <w:numId w:val="0"/>
              </w:numPr>
              <w:rPr>
                <w:rFonts w:hint="default"/>
                <w:vertAlign w:val="baseline"/>
              </w:rPr>
            </w:pPr>
            <w:r>
              <w:rPr>
                <w:rFonts w:hint="default"/>
                <w:vertAlign w:val="baseline"/>
              </w:rPr>
              <w:t>29.08</w:t>
            </w:r>
          </w:p>
        </w:tc>
        <w:tc>
          <w:tcPr>
            <w:tcW w:w="775" w:type="dxa"/>
          </w:tcPr>
          <w:p>
            <w:pPr>
              <w:numPr>
                <w:numId w:val="0"/>
              </w:numPr>
              <w:rPr>
                <w:rFonts w:hint="default"/>
                <w:vertAlign w:val="baseline"/>
              </w:rPr>
            </w:pPr>
            <w:r>
              <w:rPr>
                <w:rFonts w:hint="default"/>
                <w:vertAlign w:val="baseline"/>
              </w:rPr>
              <w:t>26.02</w:t>
            </w:r>
          </w:p>
        </w:tc>
        <w:tc>
          <w:tcPr>
            <w:tcW w:w="775" w:type="dxa"/>
          </w:tcPr>
          <w:p>
            <w:pPr>
              <w:numPr>
                <w:numId w:val="0"/>
              </w:numPr>
              <w:rPr>
                <w:rFonts w:hint="default"/>
                <w:vertAlign w:val="baseline"/>
              </w:rPr>
            </w:pPr>
            <w:r>
              <w:rPr>
                <w:rFonts w:hint="default"/>
                <w:vertAlign w:val="baseline"/>
              </w:rPr>
              <w:t>28.57</w:t>
            </w:r>
          </w:p>
        </w:tc>
        <w:tc>
          <w:tcPr>
            <w:tcW w:w="775" w:type="dxa"/>
          </w:tcPr>
          <w:p>
            <w:pPr>
              <w:numPr>
                <w:numId w:val="0"/>
              </w:numPr>
              <w:rPr>
                <w:rFonts w:hint="default"/>
                <w:vertAlign w:val="baseline"/>
              </w:rPr>
            </w:pPr>
            <w:r>
              <w:rPr>
                <w:rFonts w:hint="default"/>
                <w:vertAlign w:val="baseline"/>
              </w:rPr>
              <w:t>32.14</w:t>
            </w:r>
          </w:p>
        </w:tc>
      </w:tr>
    </w:tbl>
    <w:p>
      <w:pPr>
        <w:numPr>
          <w:numId w:val="0"/>
        </w:numPr>
        <w:rPr>
          <w:rFonts w:hint="default"/>
        </w:rPr>
      </w:pPr>
      <w:r>
        <w:rPr>
          <w:rFonts w:hint="default"/>
        </w:rPr>
        <w:t>Antarctica:</w:t>
      </w:r>
      <w:r>
        <w:rPr>
          <w:rFonts w:hint="default"/>
        </w:rPr>
        <w:tab/>
        <w:t>mean: 13.67</w:t>
      </w:r>
      <w:r>
        <w:rPr>
          <w:rFonts w:hint="default"/>
        </w:rPr>
        <w:tab/>
        <w:t/>
      </w:r>
      <w:r>
        <w:rPr>
          <w:rFonts w:hint="default"/>
        </w:rPr>
        <w:tab/>
        <w:t>standard deviation: 1.67</w:t>
      </w:r>
      <w:r>
        <w:rPr>
          <w:rFonts w:hint="default"/>
        </w:rPr>
        <w:tab/>
      </w:r>
      <w:r>
        <w:rPr>
          <w:rFonts w:hint="default"/>
        </w:rPr>
        <w:t>actual</w:t>
      </w:r>
      <w:r>
        <w:rPr>
          <w:rFonts w:hint="default"/>
        </w:rPr>
        <w:t>: 13.66</w:t>
      </w:r>
    </w:p>
    <w:p>
      <w:pPr>
        <w:numPr>
          <w:ilvl w:val="0"/>
          <w:numId w:val="0"/>
        </w:numPr>
        <w:rPr>
          <w:rFonts w:hint="default"/>
        </w:rPr>
      </w:pPr>
      <w:r>
        <w:rPr>
          <w:rFonts w:hint="default"/>
          <w:vertAlign w:val="baseline"/>
        </w:rPr>
        <w:t>Africa</w:t>
      </w:r>
      <w:r>
        <w:rPr>
          <w:rFonts w:hint="default"/>
          <w:vertAlign w:val="baseline"/>
        </w:rPr>
        <w:tab/>
      </w:r>
      <w:r>
        <w:rPr>
          <w:rFonts w:hint="default"/>
        </w:rPr>
        <w:t>:</w:t>
      </w:r>
      <w:r>
        <w:rPr>
          <w:rFonts w:hint="default"/>
        </w:rPr>
        <w:tab/>
      </w:r>
      <w:r>
        <w:rPr>
          <w:rFonts w:hint="default"/>
        </w:rPr>
        <w:t>mean: 29.74</w:t>
      </w:r>
      <w:r>
        <w:rPr>
          <w:rFonts w:hint="default"/>
        </w:rPr>
        <w:tab/>
        <w:t/>
      </w:r>
      <w:r>
        <w:rPr>
          <w:rFonts w:hint="default"/>
        </w:rPr>
        <w:tab/>
      </w:r>
      <w:r>
        <w:rPr>
          <w:rFonts w:hint="default"/>
        </w:rPr>
        <w:t>standard deviation:</w:t>
      </w:r>
      <w:r>
        <w:rPr>
          <w:rFonts w:hint="default"/>
        </w:rPr>
        <w:t xml:space="preserve"> 3.22</w:t>
      </w:r>
      <w:r>
        <w:rPr>
          <w:rFonts w:hint="default"/>
        </w:rPr>
        <w:tab/>
      </w:r>
      <w:r>
        <w:rPr>
          <w:rFonts w:hint="default"/>
        </w:rPr>
        <w:t>actual</w:t>
      </w:r>
      <w:r>
        <w:rPr>
          <w:rFonts w:hint="default"/>
        </w:rPr>
        <w:t>: 30.37</w:t>
      </w:r>
    </w:p>
    <w:p>
      <w:pPr>
        <w:numPr>
          <w:numId w:val="0"/>
        </w:numPr>
        <w:rPr>
          <w:rFonts w:hint="default"/>
        </w:rPr>
      </w:pPr>
    </w:p>
    <w:p>
      <w:pPr>
        <w:numPr>
          <w:numId w:val="0"/>
        </w:numPr>
        <w:rPr>
          <w:rFonts w:hint="default"/>
        </w:rPr>
      </w:pPr>
      <w:r>
        <w:rPr>
          <w:rFonts w:hint="default"/>
        </w:rPr>
        <w:t>10000 points: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746"/>
        <w:gridCol w:w="746"/>
        <w:gridCol w:w="746"/>
        <w:gridCol w:w="746"/>
        <w:gridCol w:w="747"/>
        <w:gridCol w:w="747"/>
        <w:gridCol w:w="747"/>
        <w:gridCol w:w="747"/>
        <w:gridCol w:w="747"/>
        <w:gridCol w:w="747"/>
      </w:tblGrid>
      <w:tr>
        <w:tc>
          <w:tcPr>
            <w:tcW w:w="774" w:type="dxa"/>
          </w:tcPr>
          <w:p>
            <w:pPr>
              <w:numPr>
                <w:ilvl w:val="0"/>
                <w:numId w:val="0"/>
              </w:numPr>
              <w:rPr>
                <w:rFonts w:hint="default"/>
                <w:vertAlign w:val="baseline"/>
              </w:rPr>
            </w:pPr>
          </w:p>
        </w:tc>
        <w:tc>
          <w:tcPr>
            <w:tcW w:w="774" w:type="dxa"/>
          </w:tcPr>
          <w:p>
            <w:pPr>
              <w:numPr>
                <w:ilvl w:val="0"/>
                <w:numId w:val="0"/>
              </w:numPr>
              <w:rPr>
                <w:rFonts w:hint="default"/>
                <w:vertAlign w:val="baseline"/>
              </w:rPr>
            </w:pPr>
            <w:r>
              <w:rPr>
                <w:rFonts w:hint="default"/>
                <w:vertAlign w:val="baseline"/>
              </w:rPr>
              <w:t>1</w:t>
            </w:r>
          </w:p>
        </w:tc>
        <w:tc>
          <w:tcPr>
            <w:tcW w:w="774" w:type="dxa"/>
          </w:tcPr>
          <w:p>
            <w:pPr>
              <w:numPr>
                <w:ilvl w:val="0"/>
                <w:numId w:val="0"/>
              </w:numPr>
              <w:rPr>
                <w:rFonts w:hint="default"/>
                <w:vertAlign w:val="baseline"/>
              </w:rPr>
            </w:pPr>
            <w:r>
              <w:rPr>
                <w:rFonts w:hint="default"/>
                <w:vertAlign w:val="baseline"/>
              </w:rPr>
              <w:t>2</w:t>
            </w:r>
          </w:p>
        </w:tc>
        <w:tc>
          <w:tcPr>
            <w:tcW w:w="774" w:type="dxa"/>
          </w:tcPr>
          <w:p>
            <w:pPr>
              <w:numPr>
                <w:ilvl w:val="0"/>
                <w:numId w:val="0"/>
              </w:numPr>
              <w:rPr>
                <w:rFonts w:hint="default"/>
                <w:vertAlign w:val="baseline"/>
              </w:rPr>
            </w:pPr>
            <w:r>
              <w:rPr>
                <w:rFonts w:hint="default"/>
                <w:vertAlign w:val="baseline"/>
              </w:rPr>
              <w:t>3</w:t>
            </w:r>
          </w:p>
        </w:tc>
        <w:tc>
          <w:tcPr>
            <w:tcW w:w="774" w:type="dxa"/>
          </w:tcPr>
          <w:p>
            <w:pPr>
              <w:numPr>
                <w:ilvl w:val="0"/>
                <w:numId w:val="0"/>
              </w:numPr>
              <w:rPr>
                <w:rFonts w:hint="default"/>
                <w:vertAlign w:val="baseline"/>
              </w:rPr>
            </w:pPr>
            <w:r>
              <w:rPr>
                <w:rFonts w:hint="default"/>
                <w:vertAlign w:val="baseline"/>
              </w:rPr>
              <w:t>4</w:t>
            </w:r>
          </w:p>
        </w:tc>
        <w:tc>
          <w:tcPr>
            <w:tcW w:w="774" w:type="dxa"/>
          </w:tcPr>
          <w:p>
            <w:pPr>
              <w:numPr>
                <w:ilvl w:val="0"/>
                <w:numId w:val="0"/>
              </w:numPr>
              <w:rPr>
                <w:rFonts w:hint="default"/>
                <w:vertAlign w:val="baseline"/>
              </w:rPr>
            </w:pPr>
            <w:r>
              <w:rPr>
                <w:rFonts w:hint="default"/>
                <w:vertAlign w:val="baseline"/>
              </w:rPr>
              <w:t>5</w:t>
            </w:r>
          </w:p>
        </w:tc>
        <w:tc>
          <w:tcPr>
            <w:tcW w:w="774" w:type="dxa"/>
          </w:tcPr>
          <w:p>
            <w:pPr>
              <w:numPr>
                <w:ilvl w:val="0"/>
                <w:numId w:val="0"/>
              </w:numPr>
              <w:rPr>
                <w:rFonts w:hint="default"/>
                <w:vertAlign w:val="baseline"/>
              </w:rPr>
            </w:pPr>
            <w:r>
              <w:rPr>
                <w:rFonts w:hint="default"/>
                <w:vertAlign w:val="baseline"/>
              </w:rPr>
              <w:t>6</w:t>
            </w:r>
          </w:p>
        </w:tc>
        <w:tc>
          <w:tcPr>
            <w:tcW w:w="774" w:type="dxa"/>
          </w:tcPr>
          <w:p>
            <w:pPr>
              <w:numPr>
                <w:ilvl w:val="0"/>
                <w:numId w:val="0"/>
              </w:numPr>
              <w:rPr>
                <w:rFonts w:hint="default"/>
                <w:vertAlign w:val="baseline"/>
              </w:rPr>
            </w:pPr>
            <w:r>
              <w:rPr>
                <w:rFonts w:hint="default"/>
                <w:vertAlign w:val="baseline"/>
              </w:rPr>
              <w:t>7</w:t>
            </w:r>
          </w:p>
        </w:tc>
        <w:tc>
          <w:tcPr>
            <w:tcW w:w="775" w:type="dxa"/>
          </w:tcPr>
          <w:p>
            <w:pPr>
              <w:numPr>
                <w:ilvl w:val="0"/>
                <w:numId w:val="0"/>
              </w:numPr>
              <w:rPr>
                <w:rFonts w:hint="default"/>
                <w:vertAlign w:val="baseline"/>
              </w:rPr>
            </w:pPr>
            <w:r>
              <w:rPr>
                <w:rFonts w:hint="default"/>
                <w:vertAlign w:val="baseline"/>
              </w:rPr>
              <w:t>8</w:t>
            </w:r>
          </w:p>
        </w:tc>
        <w:tc>
          <w:tcPr>
            <w:tcW w:w="775" w:type="dxa"/>
          </w:tcPr>
          <w:p>
            <w:pPr>
              <w:numPr>
                <w:ilvl w:val="0"/>
                <w:numId w:val="0"/>
              </w:numPr>
              <w:rPr>
                <w:rFonts w:hint="default"/>
                <w:vertAlign w:val="baseline"/>
              </w:rPr>
            </w:pPr>
            <w:r>
              <w:rPr>
                <w:rFonts w:hint="default"/>
                <w:vertAlign w:val="baseline"/>
              </w:rPr>
              <w:t>9</w:t>
            </w:r>
          </w:p>
        </w:tc>
        <w:tc>
          <w:tcPr>
            <w:tcW w:w="775" w:type="dxa"/>
          </w:tcPr>
          <w:p>
            <w:pPr>
              <w:numPr>
                <w:ilvl w:val="0"/>
                <w:numId w:val="0"/>
              </w:numPr>
              <w:rPr>
                <w:rFonts w:hint="default"/>
                <w:vertAlign w:val="baseline"/>
              </w:rPr>
            </w:pPr>
            <w:r>
              <w:rPr>
                <w:rFonts w:hint="default"/>
                <w:vertAlign w:val="baseline"/>
              </w:rPr>
              <w:t>10</w:t>
            </w:r>
          </w:p>
        </w:tc>
      </w:tr>
      <w:tr>
        <w:tc>
          <w:tcPr>
            <w:tcW w:w="774" w:type="dxa"/>
          </w:tcPr>
          <w:p>
            <w:pPr>
              <w:numPr>
                <w:ilvl w:val="0"/>
                <w:numId w:val="0"/>
              </w:numPr>
              <w:rPr>
                <w:rFonts w:hint="default"/>
                <w:vertAlign w:val="baseline"/>
              </w:rPr>
            </w:pPr>
            <w:r>
              <w:rPr>
                <w:rFonts w:hint="default"/>
                <w:vertAlign w:val="baseline"/>
              </w:rPr>
              <w:t>Antarctic</w:t>
            </w:r>
          </w:p>
        </w:tc>
        <w:tc>
          <w:tcPr>
            <w:tcW w:w="774" w:type="dxa"/>
          </w:tcPr>
          <w:p>
            <w:pPr>
              <w:numPr>
                <w:ilvl w:val="0"/>
                <w:numId w:val="0"/>
              </w:numPr>
              <w:rPr>
                <w:rFonts w:hint="default"/>
                <w:vertAlign w:val="baseline"/>
              </w:rPr>
            </w:pPr>
            <w:r>
              <w:rPr>
                <w:rFonts w:hint="default"/>
                <w:vertAlign w:val="baseline"/>
              </w:rPr>
              <w:t>12.85</w:t>
            </w:r>
          </w:p>
        </w:tc>
        <w:tc>
          <w:tcPr>
            <w:tcW w:w="774" w:type="dxa"/>
          </w:tcPr>
          <w:p>
            <w:pPr>
              <w:numPr>
                <w:ilvl w:val="0"/>
                <w:numId w:val="0"/>
              </w:numPr>
              <w:rPr>
                <w:rFonts w:hint="default"/>
                <w:vertAlign w:val="baseline"/>
              </w:rPr>
            </w:pPr>
            <w:r>
              <w:rPr>
                <w:rFonts w:hint="default"/>
                <w:vertAlign w:val="baseline"/>
              </w:rPr>
              <w:t>14.28</w:t>
            </w:r>
          </w:p>
        </w:tc>
        <w:tc>
          <w:tcPr>
            <w:tcW w:w="774" w:type="dxa"/>
          </w:tcPr>
          <w:p>
            <w:pPr>
              <w:numPr>
                <w:ilvl w:val="0"/>
                <w:numId w:val="0"/>
              </w:numPr>
              <w:rPr>
                <w:rFonts w:hint="default"/>
                <w:vertAlign w:val="baseline"/>
              </w:rPr>
            </w:pPr>
            <w:r>
              <w:rPr>
                <w:rFonts w:hint="default"/>
                <w:vertAlign w:val="baseline"/>
              </w:rPr>
              <w:t>13.98</w:t>
            </w:r>
          </w:p>
        </w:tc>
        <w:tc>
          <w:tcPr>
            <w:tcW w:w="774" w:type="dxa"/>
          </w:tcPr>
          <w:p>
            <w:pPr>
              <w:numPr>
                <w:ilvl w:val="0"/>
                <w:numId w:val="0"/>
              </w:numPr>
              <w:rPr>
                <w:rFonts w:hint="default"/>
                <w:vertAlign w:val="baseline"/>
              </w:rPr>
            </w:pPr>
            <w:r>
              <w:rPr>
                <w:rFonts w:hint="default"/>
                <w:vertAlign w:val="baseline"/>
              </w:rPr>
              <w:t>1</w:t>
            </w:r>
            <w:r>
              <w:rPr>
                <w:rFonts w:hint="default"/>
                <w:vertAlign w:val="baseline"/>
              </w:rPr>
              <w:t>3.77</w:t>
            </w:r>
          </w:p>
        </w:tc>
        <w:tc>
          <w:tcPr>
            <w:tcW w:w="774" w:type="dxa"/>
          </w:tcPr>
          <w:p>
            <w:pPr>
              <w:numPr>
                <w:ilvl w:val="0"/>
                <w:numId w:val="0"/>
              </w:numPr>
              <w:rPr>
                <w:rFonts w:hint="default"/>
                <w:vertAlign w:val="baseline"/>
              </w:rPr>
            </w:pPr>
            <w:r>
              <w:rPr>
                <w:rFonts w:hint="default"/>
                <w:vertAlign w:val="baseline"/>
              </w:rPr>
              <w:t>1</w:t>
            </w:r>
            <w:r>
              <w:rPr>
                <w:rFonts w:hint="default"/>
                <w:vertAlign w:val="baseline"/>
              </w:rPr>
              <w:t>4.33</w:t>
            </w:r>
          </w:p>
        </w:tc>
        <w:tc>
          <w:tcPr>
            <w:tcW w:w="774" w:type="dxa"/>
          </w:tcPr>
          <w:p>
            <w:pPr>
              <w:numPr>
                <w:ilvl w:val="0"/>
                <w:numId w:val="0"/>
              </w:numPr>
              <w:rPr>
                <w:rFonts w:hint="default"/>
                <w:vertAlign w:val="baseline"/>
              </w:rPr>
            </w:pPr>
            <w:r>
              <w:rPr>
                <w:rFonts w:hint="default"/>
                <w:vertAlign w:val="baseline"/>
              </w:rPr>
              <w:t>15.</w:t>
            </w:r>
            <w:r>
              <w:rPr>
                <w:rFonts w:hint="default"/>
                <w:vertAlign w:val="baseline"/>
              </w:rPr>
              <w:t>00</w:t>
            </w:r>
          </w:p>
        </w:tc>
        <w:tc>
          <w:tcPr>
            <w:tcW w:w="774" w:type="dxa"/>
          </w:tcPr>
          <w:p>
            <w:pPr>
              <w:numPr>
                <w:ilvl w:val="0"/>
                <w:numId w:val="0"/>
              </w:numPr>
              <w:rPr>
                <w:rFonts w:hint="default"/>
                <w:vertAlign w:val="baseline"/>
              </w:rPr>
            </w:pPr>
            <w:r>
              <w:rPr>
                <w:rFonts w:hint="default"/>
                <w:vertAlign w:val="baseline"/>
              </w:rPr>
              <w:t>1</w:t>
            </w:r>
            <w:r>
              <w:rPr>
                <w:rFonts w:hint="default"/>
                <w:vertAlign w:val="baseline"/>
              </w:rPr>
              <w:t>3.47</w:t>
            </w:r>
          </w:p>
        </w:tc>
        <w:tc>
          <w:tcPr>
            <w:tcW w:w="775" w:type="dxa"/>
          </w:tcPr>
          <w:p>
            <w:pPr>
              <w:numPr>
                <w:ilvl w:val="0"/>
                <w:numId w:val="0"/>
              </w:numPr>
              <w:rPr>
                <w:rFonts w:hint="default"/>
                <w:vertAlign w:val="baseline"/>
              </w:rPr>
            </w:pPr>
            <w:r>
              <w:rPr>
                <w:rFonts w:hint="default"/>
                <w:vertAlign w:val="baseline"/>
              </w:rPr>
              <w:t>14.84</w:t>
            </w:r>
          </w:p>
        </w:tc>
        <w:tc>
          <w:tcPr>
            <w:tcW w:w="775" w:type="dxa"/>
          </w:tcPr>
          <w:p>
            <w:pPr>
              <w:numPr>
                <w:ilvl w:val="0"/>
                <w:numId w:val="0"/>
              </w:numPr>
              <w:rPr>
                <w:rFonts w:hint="default"/>
                <w:vertAlign w:val="baseline"/>
              </w:rPr>
            </w:pPr>
            <w:r>
              <w:rPr>
                <w:rFonts w:hint="default"/>
                <w:vertAlign w:val="baseline"/>
              </w:rPr>
              <w:t>13.</w:t>
            </w:r>
            <w:r>
              <w:rPr>
                <w:rFonts w:hint="default"/>
                <w:vertAlign w:val="baseline"/>
              </w:rPr>
              <w:t>98</w:t>
            </w:r>
          </w:p>
        </w:tc>
        <w:tc>
          <w:tcPr>
            <w:tcW w:w="775" w:type="dxa"/>
          </w:tcPr>
          <w:p>
            <w:pPr>
              <w:numPr>
                <w:ilvl w:val="0"/>
                <w:numId w:val="0"/>
              </w:numPr>
              <w:rPr>
                <w:rFonts w:hint="default"/>
                <w:vertAlign w:val="baseline"/>
              </w:rPr>
            </w:pPr>
            <w:r>
              <w:rPr>
                <w:rFonts w:hint="default"/>
                <w:vertAlign w:val="baseline"/>
              </w:rPr>
              <w:t>13.79</w:t>
            </w:r>
          </w:p>
        </w:tc>
      </w:tr>
      <w:tr>
        <w:trPr>
          <w:trHeight w:val="302" w:hRule="atLeast"/>
        </w:trPr>
        <w:tc>
          <w:tcPr>
            <w:tcW w:w="774" w:type="dxa"/>
          </w:tcPr>
          <w:p>
            <w:pPr>
              <w:numPr>
                <w:ilvl w:val="0"/>
                <w:numId w:val="0"/>
              </w:numPr>
              <w:rPr>
                <w:rFonts w:hint="default"/>
                <w:vertAlign w:val="baseline"/>
              </w:rPr>
            </w:pPr>
            <w:r>
              <w:rPr>
                <w:rFonts w:hint="default"/>
                <w:vertAlign w:val="baseline"/>
              </w:rPr>
              <w:t>Africa</w:t>
            </w:r>
          </w:p>
        </w:tc>
        <w:tc>
          <w:tcPr>
            <w:tcW w:w="774" w:type="dxa"/>
          </w:tcPr>
          <w:p>
            <w:pPr>
              <w:numPr>
                <w:ilvl w:val="0"/>
                <w:numId w:val="0"/>
              </w:numPr>
              <w:rPr>
                <w:rFonts w:hint="default"/>
                <w:vertAlign w:val="baseline"/>
              </w:rPr>
            </w:pPr>
            <w:r>
              <w:rPr>
                <w:rFonts w:hint="default"/>
                <w:vertAlign w:val="baseline"/>
              </w:rPr>
              <w:t>32.19</w:t>
            </w:r>
          </w:p>
        </w:tc>
        <w:tc>
          <w:tcPr>
            <w:tcW w:w="774" w:type="dxa"/>
          </w:tcPr>
          <w:p>
            <w:pPr>
              <w:numPr>
                <w:ilvl w:val="0"/>
                <w:numId w:val="0"/>
              </w:numPr>
              <w:rPr>
                <w:rFonts w:hint="default"/>
                <w:vertAlign w:val="baseline"/>
              </w:rPr>
            </w:pPr>
            <w:r>
              <w:rPr>
                <w:rFonts w:hint="default"/>
                <w:vertAlign w:val="baseline"/>
              </w:rPr>
              <w:t>30.20</w:t>
            </w:r>
          </w:p>
        </w:tc>
        <w:tc>
          <w:tcPr>
            <w:tcW w:w="774" w:type="dxa"/>
          </w:tcPr>
          <w:p>
            <w:pPr>
              <w:numPr>
                <w:ilvl w:val="0"/>
                <w:numId w:val="0"/>
              </w:numPr>
              <w:rPr>
                <w:rFonts w:hint="default"/>
                <w:vertAlign w:val="baseline"/>
              </w:rPr>
            </w:pPr>
            <w:r>
              <w:rPr>
                <w:rFonts w:hint="default"/>
                <w:vertAlign w:val="baseline"/>
              </w:rPr>
              <w:t>30.04</w:t>
            </w:r>
          </w:p>
        </w:tc>
        <w:tc>
          <w:tcPr>
            <w:tcW w:w="774" w:type="dxa"/>
          </w:tcPr>
          <w:p>
            <w:pPr>
              <w:numPr>
                <w:ilvl w:val="0"/>
                <w:numId w:val="0"/>
              </w:numPr>
              <w:rPr>
                <w:rFonts w:hint="default"/>
                <w:vertAlign w:val="baseline"/>
              </w:rPr>
            </w:pPr>
            <w:r>
              <w:rPr>
                <w:rFonts w:hint="default"/>
                <w:vertAlign w:val="baseline"/>
              </w:rPr>
              <w:t>31.52</w:t>
            </w:r>
          </w:p>
        </w:tc>
        <w:tc>
          <w:tcPr>
            <w:tcW w:w="774" w:type="dxa"/>
          </w:tcPr>
          <w:p>
            <w:pPr>
              <w:numPr>
                <w:ilvl w:val="0"/>
                <w:numId w:val="0"/>
              </w:numPr>
              <w:rPr>
                <w:rFonts w:hint="default"/>
                <w:vertAlign w:val="baseline"/>
              </w:rPr>
            </w:pPr>
            <w:r>
              <w:rPr>
                <w:rFonts w:hint="default"/>
                <w:vertAlign w:val="baseline"/>
              </w:rPr>
              <w:t>29.79</w:t>
            </w:r>
          </w:p>
        </w:tc>
        <w:tc>
          <w:tcPr>
            <w:tcW w:w="774" w:type="dxa"/>
          </w:tcPr>
          <w:p>
            <w:pPr>
              <w:numPr>
                <w:ilvl w:val="0"/>
                <w:numId w:val="0"/>
              </w:numPr>
              <w:rPr>
                <w:rFonts w:hint="default"/>
                <w:vertAlign w:val="baseline"/>
              </w:rPr>
            </w:pPr>
            <w:r>
              <w:rPr>
                <w:rFonts w:hint="default"/>
                <w:vertAlign w:val="baseline"/>
              </w:rPr>
              <w:t>3</w:t>
            </w:r>
            <w:r>
              <w:rPr>
                <w:rFonts w:hint="default"/>
                <w:vertAlign w:val="baseline"/>
              </w:rPr>
              <w:t>1.78</w:t>
            </w:r>
          </w:p>
        </w:tc>
        <w:tc>
          <w:tcPr>
            <w:tcW w:w="774" w:type="dxa"/>
          </w:tcPr>
          <w:p>
            <w:pPr>
              <w:numPr>
                <w:ilvl w:val="0"/>
                <w:numId w:val="0"/>
              </w:numPr>
              <w:rPr>
                <w:rFonts w:hint="default"/>
                <w:vertAlign w:val="baseline"/>
              </w:rPr>
            </w:pPr>
            <w:r>
              <w:rPr>
                <w:rFonts w:hint="default"/>
                <w:vertAlign w:val="baseline"/>
              </w:rPr>
              <w:t>30.55</w:t>
            </w:r>
          </w:p>
        </w:tc>
        <w:tc>
          <w:tcPr>
            <w:tcW w:w="775" w:type="dxa"/>
          </w:tcPr>
          <w:p>
            <w:pPr>
              <w:numPr>
                <w:ilvl w:val="0"/>
                <w:numId w:val="0"/>
              </w:numPr>
              <w:rPr>
                <w:rFonts w:hint="default"/>
                <w:vertAlign w:val="baseline"/>
              </w:rPr>
            </w:pPr>
            <w:r>
              <w:rPr>
                <w:rFonts w:hint="default"/>
                <w:vertAlign w:val="baseline"/>
              </w:rPr>
              <w:t>30.30</w:t>
            </w:r>
          </w:p>
        </w:tc>
        <w:tc>
          <w:tcPr>
            <w:tcW w:w="775" w:type="dxa"/>
          </w:tcPr>
          <w:p>
            <w:pPr>
              <w:numPr>
                <w:ilvl w:val="0"/>
                <w:numId w:val="0"/>
              </w:numPr>
              <w:rPr>
                <w:rFonts w:hint="default"/>
                <w:vertAlign w:val="baseline"/>
              </w:rPr>
            </w:pPr>
            <w:r>
              <w:rPr>
                <w:rFonts w:hint="default"/>
                <w:vertAlign w:val="baseline"/>
              </w:rPr>
              <w:t>31.47</w:t>
            </w:r>
          </w:p>
        </w:tc>
        <w:tc>
          <w:tcPr>
            <w:tcW w:w="775" w:type="dxa"/>
          </w:tcPr>
          <w:p>
            <w:pPr>
              <w:numPr>
                <w:ilvl w:val="0"/>
                <w:numId w:val="0"/>
              </w:numPr>
              <w:rPr>
                <w:rFonts w:hint="default"/>
                <w:vertAlign w:val="baseline"/>
              </w:rPr>
            </w:pPr>
            <w:r>
              <w:rPr>
                <w:rFonts w:hint="default"/>
                <w:vertAlign w:val="baseline"/>
              </w:rPr>
              <w:t>3</w:t>
            </w:r>
            <w:r>
              <w:rPr>
                <w:rFonts w:hint="default"/>
                <w:vertAlign w:val="baseline"/>
              </w:rPr>
              <w:t>0.55</w:t>
            </w:r>
          </w:p>
        </w:tc>
      </w:tr>
    </w:tbl>
    <w:p>
      <w:pPr>
        <w:numPr>
          <w:ilvl w:val="0"/>
          <w:numId w:val="0"/>
        </w:numPr>
        <w:rPr>
          <w:rFonts w:hint="default"/>
        </w:rPr>
      </w:pPr>
      <w:r>
        <w:rPr>
          <w:rFonts w:hint="default"/>
        </w:rPr>
        <w:t>Antarctica:</w:t>
      </w:r>
      <w:r>
        <w:rPr>
          <w:rFonts w:hint="default"/>
        </w:rPr>
        <w:tab/>
      </w:r>
      <w:r>
        <w:rPr>
          <w:rFonts w:hint="default"/>
        </w:rPr>
        <w:t xml:space="preserve">mean: </w:t>
      </w:r>
      <w:r>
        <w:rPr>
          <w:rFonts w:hint="default"/>
        </w:rPr>
        <w:t>14.01</w:t>
      </w:r>
      <w:r>
        <w:rPr>
          <w:rFonts w:hint="default"/>
        </w:rPr>
        <w:tab/>
      </w:r>
      <w:r>
        <w:rPr>
          <w:rFonts w:hint="default"/>
        </w:rPr>
        <w:tab/>
      </w:r>
      <w:r>
        <w:rPr>
          <w:rFonts w:hint="default"/>
        </w:rPr>
        <w:t xml:space="preserve">standard deviation: </w:t>
      </w:r>
      <w:r>
        <w:rPr>
          <w:rFonts w:hint="default"/>
        </w:rPr>
        <w:t>0.60</w:t>
      </w:r>
      <w:r>
        <w:rPr>
          <w:rFonts w:hint="default"/>
        </w:rPr>
        <w:tab/>
      </w:r>
      <w:r>
        <w:rPr>
          <w:rFonts w:hint="default"/>
        </w:rPr>
        <w:t>actual</w:t>
      </w:r>
      <w:r>
        <w:rPr>
          <w:rFonts w:hint="default"/>
        </w:rPr>
        <w:t>: 13.66</w:t>
      </w:r>
    </w:p>
    <w:p>
      <w:pPr>
        <w:numPr>
          <w:ilvl w:val="0"/>
          <w:numId w:val="0"/>
        </w:numPr>
        <w:rPr>
          <w:rFonts w:hint="default"/>
        </w:rPr>
      </w:pPr>
      <w:r>
        <w:rPr>
          <w:rFonts w:hint="default"/>
          <w:vertAlign w:val="baseline"/>
        </w:rPr>
        <w:t>Africa</w:t>
      </w:r>
      <w:r>
        <w:rPr>
          <w:rFonts w:hint="default"/>
          <w:vertAlign w:val="baseline"/>
        </w:rPr>
        <w:tab/>
      </w:r>
      <w:r>
        <w:rPr>
          <w:rFonts w:hint="default"/>
        </w:rPr>
        <w:t>:</w:t>
      </w:r>
      <w:r>
        <w:rPr>
          <w:rFonts w:hint="default"/>
        </w:rPr>
        <w:tab/>
      </w:r>
      <w:r>
        <w:rPr>
          <w:rFonts w:hint="default"/>
        </w:rPr>
        <w:t xml:space="preserve">mean: </w:t>
      </w:r>
      <w:r>
        <w:rPr>
          <w:rFonts w:hint="default"/>
        </w:rPr>
        <w:t>30.84</w:t>
      </w:r>
      <w:r>
        <w:rPr>
          <w:rFonts w:hint="default"/>
        </w:rPr>
        <w:tab/>
      </w:r>
      <w:r>
        <w:rPr>
          <w:rFonts w:hint="default"/>
        </w:rPr>
        <w:tab/>
      </w:r>
      <w:r>
        <w:rPr>
          <w:rFonts w:hint="default"/>
        </w:rPr>
        <w:t xml:space="preserve">standard deviation: </w:t>
      </w:r>
      <w:r>
        <w:rPr>
          <w:rFonts w:hint="default"/>
        </w:rPr>
        <w:t>0.79</w:t>
      </w:r>
      <w:r>
        <w:rPr>
          <w:rFonts w:hint="default"/>
        </w:rPr>
        <w:tab/>
      </w:r>
      <w:r>
        <w:rPr>
          <w:rFonts w:hint="default"/>
        </w:rPr>
        <w:t>actual: 30.37</w:t>
      </w:r>
    </w:p>
    <w:p>
      <w:pPr>
        <w:numPr>
          <w:numId w:val="0"/>
        </w:numPr>
        <w:rPr>
          <w:rFonts w:hint="default"/>
        </w:rPr>
      </w:pPr>
      <w:r>
        <w:rPr>
          <w:rFonts w:hint="default"/>
        </w:rPr>
        <w:t>Notice that for 10000 points, the standard deviation is smaller than it with 1000 points. But still, the standard deviation of Africa is larger than Antarctica. This may because the area of Africa is larger, which cause the estimation distribute more widely. The mean is more accurate for Antarctic, this may because the way I estimate Antarctica(using circle) is more accurate and closer to the real shape than the way I estimate Africa (using triangle)</w:t>
      </w:r>
    </w:p>
    <w:p>
      <w:pPr>
        <w:rPr>
          <w:rFonts w:hint="default"/>
        </w:rPr>
      </w:pPr>
    </w:p>
    <w:p>
      <w:pPr>
        <w:rPr>
          <w:rFonts w:hint="default"/>
        </w:rPr>
      </w:pPr>
    </w:p>
    <w:p>
      <w:r>
        <w:t xml:space="preserve">Problem </w:t>
      </w:r>
      <w:r>
        <w:t>2</w:t>
      </w:r>
    </w:p>
    <w:p>
      <w:pPr>
        <w:rPr>
          <w:rFonts w:hint="default"/>
        </w:rPr>
      </w:pPr>
      <w:r>
        <w:t>Let</w:t>
      </w:r>
      <w:r>
        <w:rPr>
          <w:rFonts w:hint="default"/>
        </w:rPr>
        <w:t>’s first explore Champernowne &amp; Copeland-Eros constant</w:t>
      </w:r>
    </w:p>
    <w:p>
      <w:pPr>
        <w:rPr>
          <w:rFonts w:hint="default"/>
        </w:rPr>
      </w:pPr>
    </w:p>
    <w:p>
      <w:pPr>
        <w:rPr>
          <w:rFonts w:hint="default"/>
        </w:rPr>
      </w:pPr>
      <w:r>
        <w:drawing>
          <wp:anchor distT="0" distB="0" distL="114300" distR="114300" simplePos="0" relativeHeight="251662336" behindDoc="1" locked="0" layoutInCell="1" allowOverlap="1">
            <wp:simplePos x="0" y="0"/>
            <wp:positionH relativeFrom="column">
              <wp:posOffset>-1100455</wp:posOffset>
            </wp:positionH>
            <wp:positionV relativeFrom="paragraph">
              <wp:posOffset>192405</wp:posOffset>
            </wp:positionV>
            <wp:extent cx="7398385" cy="712470"/>
            <wp:effectExtent l="0" t="0" r="18415" b="24130"/>
            <wp:wrapTight wrapText="bothSides">
              <wp:wrapPolygon>
                <wp:start x="0" y="0"/>
                <wp:lineTo x="0" y="20597"/>
                <wp:lineTo x="21483" y="20597"/>
                <wp:lineTo x="2148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7398385" cy="712470"/>
                    </a:xfrm>
                    <a:prstGeom prst="rect">
                      <a:avLst/>
                    </a:prstGeom>
                    <a:noFill/>
                    <a:ln w="9525">
                      <a:noFill/>
                    </a:ln>
                  </pic:spPr>
                </pic:pic>
              </a:graphicData>
            </a:graphic>
          </wp:anchor>
        </w:drawing>
      </w:r>
      <w:r>
        <w:rPr>
          <w:rFonts w:hint="default"/>
        </w:rPr>
        <w:t xml:space="preserve">Champernowne </w:t>
      </w:r>
      <w:r>
        <w:rPr>
          <w:rFonts w:hint="default"/>
        </w:rPr>
        <w:t xml:space="preserve">constant </w:t>
      </w:r>
      <w:r>
        <w:rPr>
          <w:rFonts w:hint="default"/>
        </w:rPr>
        <w:t>(base 2)</w:t>
      </w:r>
      <w:r>
        <w:rPr>
          <w:rFonts w:hint="default"/>
        </w:rPr>
        <w:t xml:space="preserve"> [concatenate first 100 number]</w:t>
      </w:r>
    </w:p>
    <w:p>
      <w:pPr>
        <w:rPr>
          <w:rFonts w:hint="default"/>
        </w:rPr>
      </w:pPr>
    </w:p>
    <w:p>
      <w:pPr>
        <w:rPr>
          <w:rFonts w:hint="default"/>
        </w:rPr>
      </w:pPr>
    </w:p>
    <w:p>
      <w:pPr>
        <w:rPr>
          <w:rFonts w:hint="default"/>
        </w:rPr>
      </w:pPr>
    </w:p>
    <w:p>
      <w:pPr>
        <w:rPr>
          <w:rFonts w:hint="default"/>
        </w:rPr>
      </w:pPr>
    </w:p>
    <w:p>
      <w:pPr>
        <w:rPr>
          <w:rFonts w:hint="default"/>
        </w:rPr>
      </w:pPr>
      <w:r>
        <w:drawing>
          <wp:anchor distT="0" distB="0" distL="114300" distR="114300" simplePos="0" relativeHeight="251661312" behindDoc="1" locked="0" layoutInCell="1" allowOverlap="1">
            <wp:simplePos x="0" y="0"/>
            <wp:positionH relativeFrom="column">
              <wp:posOffset>-1111885</wp:posOffset>
            </wp:positionH>
            <wp:positionV relativeFrom="paragraph">
              <wp:posOffset>221615</wp:posOffset>
            </wp:positionV>
            <wp:extent cx="7423785" cy="795020"/>
            <wp:effectExtent l="0" t="0" r="18415" b="17780"/>
            <wp:wrapTight wrapText="bothSides">
              <wp:wrapPolygon>
                <wp:start x="0" y="0"/>
                <wp:lineTo x="0" y="20455"/>
                <wp:lineTo x="21483" y="20455"/>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7423785" cy="795020"/>
                    </a:xfrm>
                    <a:prstGeom prst="rect">
                      <a:avLst/>
                    </a:prstGeom>
                    <a:noFill/>
                    <a:ln w="9525">
                      <a:noFill/>
                    </a:ln>
                  </pic:spPr>
                </pic:pic>
              </a:graphicData>
            </a:graphic>
          </wp:anchor>
        </w:drawing>
      </w:r>
      <w:r>
        <w:rPr>
          <w:rFonts w:hint="default"/>
        </w:rPr>
        <w:t>Copeland-Eros constant</w:t>
      </w:r>
      <w:r>
        <w:rPr>
          <w:rFonts w:hint="default"/>
        </w:rPr>
        <w:t xml:space="preserve"> (base 2) [concatenate first 100 prime]</w:t>
      </w:r>
    </w:p>
    <w:p>
      <w:pPr>
        <w:rPr>
          <w:rFonts w:hint="default"/>
        </w:rPr>
      </w:pPr>
    </w:p>
    <w:p>
      <w:pPr>
        <w:rPr>
          <w:rFonts w:hint="default"/>
        </w:rPr>
      </w:pPr>
    </w:p>
    <w:p>
      <w:pPr>
        <w:rPr>
          <w:rFonts w:hint="default"/>
        </w:rPr>
      </w:pPr>
    </w:p>
    <w:p>
      <w:pPr>
        <w:rPr>
          <w:rFonts w:hint="default"/>
        </w:rPr>
      </w:pPr>
    </w:p>
    <w:p>
      <w:pPr>
        <w:rPr>
          <w:rFonts w:hint="default"/>
        </w:rPr>
      </w:pPr>
      <w:r>
        <w:drawing>
          <wp:anchor distT="0" distB="0" distL="114300" distR="114300" simplePos="0" relativeHeight="251663360" behindDoc="1" locked="0" layoutInCell="1" allowOverlap="1">
            <wp:simplePos x="0" y="0"/>
            <wp:positionH relativeFrom="column">
              <wp:posOffset>2823210</wp:posOffset>
            </wp:positionH>
            <wp:positionV relativeFrom="paragraph">
              <wp:posOffset>72390</wp:posOffset>
            </wp:positionV>
            <wp:extent cx="2578735" cy="1908175"/>
            <wp:effectExtent l="0" t="0" r="12065" b="22225"/>
            <wp:wrapTight wrapText="bothSides">
              <wp:wrapPolygon>
                <wp:start x="0" y="0"/>
                <wp:lineTo x="0" y="21277"/>
                <wp:lineTo x="21488" y="21277"/>
                <wp:lineTo x="2148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2578735" cy="1908175"/>
                    </a:xfrm>
                    <a:prstGeom prst="rect">
                      <a:avLst/>
                    </a:prstGeom>
                    <a:noFill/>
                    <a:ln w="9525">
                      <a:noFill/>
                    </a:ln>
                  </pic:spPr>
                </pic:pic>
              </a:graphicData>
            </a:graphic>
          </wp:anchor>
        </w:drawing>
      </w:r>
    </w:p>
    <w:p>
      <w:pPr>
        <w:rPr>
          <w:rFonts w:hint="default"/>
        </w:rPr>
      </w:pPr>
      <w:r>
        <w:rPr>
          <w:rFonts w:hint="default"/>
        </w:rPr>
        <w:t>Test if they’re random enough. If a string of 0s and 1s are truly random, the ratio between 1 and 0 should be close to 1, and keep getting closer as input string length increase. My program plot that ratio over the number length. (shown right)</w:t>
      </w:r>
    </w:p>
    <w:p>
      <w:pPr>
        <w:rPr>
          <w:rFonts w:hint="default"/>
        </w:rPr>
      </w:pPr>
      <w:r>
        <w:rPr>
          <w:rFonts w:hint="default"/>
        </w:rPr>
        <w:t xml:space="preserve">As number of concatenation increase, the ratio of 1s and 0s become closer and closer to 1, which means the data is quite random. </w:t>
      </w:r>
    </w:p>
    <w:p>
      <w:pPr>
        <w:rPr>
          <w:rFonts w:hint="default"/>
        </w:rPr>
      </w:pPr>
      <w:r>
        <w:rPr>
          <w:rFonts w:hint="default"/>
        </w:rPr>
        <w:t xml:space="preserve">- The red line represent a truly randomly generated sequence, which quickly converge to 1 as number of </w:t>
      </w:r>
      <w:r>
        <w:rPr>
          <w:rFonts w:hint="default"/>
        </w:rPr>
        <w:t xml:space="preserve">concatenation </w:t>
      </w:r>
      <w:r>
        <w:rPr>
          <w:rFonts w:hint="default"/>
        </w:rPr>
        <w:t>increase.</w:t>
      </w:r>
    </w:p>
    <w:p>
      <w:pPr>
        <w:rPr>
          <w:rFonts w:hint="default"/>
        </w:rPr>
      </w:pPr>
      <w:r>
        <w:rPr>
          <w:rFonts w:hint="default"/>
        </w:rPr>
        <w:t xml:space="preserve">- The blue line represent the </w:t>
      </w:r>
      <w:r>
        <w:rPr>
          <w:rFonts w:hint="default"/>
        </w:rPr>
        <w:t xml:space="preserve">Champernowne </w:t>
      </w:r>
      <w:r>
        <w:rPr>
          <w:rFonts w:hint="default"/>
        </w:rPr>
        <w:t>constant, which also converge to 1, but in a slower speed</w:t>
      </w:r>
    </w:p>
    <w:p>
      <w:pPr>
        <w:rPr>
          <w:rFonts w:hint="default"/>
        </w:rPr>
      </w:pPr>
      <w:r>
        <w:rPr>
          <w:rFonts w:hint="default"/>
        </w:rPr>
        <w:t xml:space="preserve">- The green line represent </w:t>
      </w:r>
      <w:r>
        <w:rPr>
          <w:rFonts w:hint="default"/>
        </w:rPr>
        <w:t>Copeland-Eros constant</w:t>
      </w:r>
      <w:r>
        <w:rPr>
          <w:rFonts w:hint="default"/>
        </w:rPr>
        <w:t xml:space="preserve">, which converge to 1 in a lower speed than </w:t>
      </w:r>
      <w:r>
        <w:rPr>
          <w:rFonts w:hint="default"/>
        </w:rPr>
        <w:t xml:space="preserve">Champernowne </w:t>
      </w:r>
      <w:r>
        <w:rPr>
          <w:rFonts w:hint="default"/>
        </w:rPr>
        <w:t>constant</w:t>
      </w:r>
    </w:p>
    <w:p>
      <w:pPr>
        <w:rPr>
          <w:rFonts w:hint="default"/>
        </w:rPr>
      </w:pPr>
      <w:bookmarkStart w:id="0" w:name="_GoBack"/>
      <w:bookmarkEnd w:id="0"/>
    </w:p>
    <w:p>
      <w:pPr>
        <w:rPr>
          <w:rFonts w:hint="default"/>
        </w:rPr>
      </w:pPr>
      <w:r>
        <w:rPr>
          <w:rFonts w:hint="default"/>
        </w:rPr>
        <w:t xml:space="preserve">Thereby, we could conclude that </w:t>
      </w:r>
      <w:r>
        <w:rPr>
          <w:rFonts w:hint="default"/>
        </w:rPr>
        <w:t xml:space="preserve">Champernowne </w:t>
      </w:r>
      <w:r>
        <w:rPr>
          <w:rFonts w:hint="default"/>
        </w:rPr>
        <w:t xml:space="preserve">is more random than </w:t>
      </w:r>
      <w:r>
        <w:rPr>
          <w:rFonts w:hint="default"/>
        </w:rPr>
        <w:t>Copeland-Eros constant</w:t>
      </w:r>
      <w:r>
        <w:rPr>
          <w:rFonts w:hint="default"/>
        </w:rPr>
        <w:t xml:space="preserve"> by comparing ratio of 1s and 0s</w:t>
      </w:r>
    </w:p>
    <w:p>
      <w:pPr>
        <w:rPr>
          <w:rFonts w:hint="default"/>
        </w:rPr>
      </w:pPr>
      <w:r>
        <w:rPr>
          <w:rFonts w:hint="default"/>
        </w:rPr>
        <w:t xml:space="preserve">Also, </w:t>
      </w:r>
      <w:r>
        <w:rPr>
          <w:rFonts w:hint="default"/>
        </w:rPr>
        <w:t>Champernowne</w:t>
      </w:r>
      <w:r>
        <w:rPr>
          <w:rFonts w:hint="default"/>
        </w:rPr>
        <w:t xml:space="preserve"> &amp; </w:t>
      </w:r>
      <w:r>
        <w:rPr>
          <w:rFonts w:hint="default"/>
        </w:rPr>
        <w:t>Copeland-Eros</w:t>
      </w:r>
      <w:r>
        <w:rPr>
          <w:rFonts w:hint="default"/>
        </w:rPr>
        <w:t xml:space="preserve"> converge to 1 from the top, which means the number of 1 is always larger than 0, but that difference is decreasing. This indicates that those two number may not be as random as it appear. For a truly random sequence, however, it quickly converge to 1 and fluctuate.</w:t>
      </w:r>
    </w:p>
    <w:p>
      <w:pPr>
        <w:rPr>
          <w:rFonts w:hint="default"/>
        </w:rPr>
      </w:pPr>
      <w:r>
        <w:rPr>
          <w:rFonts w:hint="default"/>
        </w:rPr>
        <w:t xml:space="preserve">We can conclude that if the number length goes to infinity, </w:t>
      </w:r>
      <w:r>
        <w:rPr>
          <w:rFonts w:hint="default"/>
        </w:rPr>
        <w:t xml:space="preserve">Champernowne </w:t>
      </w:r>
      <w:r>
        <w:rPr>
          <w:rFonts w:hint="default"/>
        </w:rPr>
        <w:t xml:space="preserve">&amp; </w:t>
      </w:r>
      <w:r>
        <w:rPr>
          <w:rFonts w:hint="default"/>
        </w:rPr>
        <w:t>Copeland-Eros</w:t>
      </w:r>
      <w:r>
        <w:rPr>
          <w:rFonts w:hint="default"/>
        </w:rPr>
        <w:t xml:space="preserve"> constant are possibly random and likely to be normal number. Given input with other string, we can check if it’s random by looking at the generated graph to see if it converge or have tendency to converge to 1 as input length increase.</w:t>
      </w:r>
    </w:p>
    <w:p>
      <w:pPr>
        <w:rPr>
          <w:rFonts w:hint="default"/>
        </w:rPr>
      </w:pPr>
    </w:p>
    <w:p>
      <w:pPr>
        <w:rPr>
          <w:rFonts w:hint="default"/>
        </w:rPr>
      </w:pPr>
      <w:r>
        <w:rPr>
          <w:rFonts w:hint="default"/>
        </w:rPr>
        <w:t>* here, randomness is defined by the equality of frequency of number appeared for each digit, which correspond to the definition of normal number.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1">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8A8F36"/>
    <w:multiLevelType w:val="singleLevel"/>
    <w:tmpl w:val="638A8F36"/>
    <w:lvl w:ilvl="0" w:tentative="0">
      <w:start w:val="1"/>
      <w:numFmt w:val="low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4EAB21"/>
    <w:rsid w:val="07DFF899"/>
    <w:rsid w:val="0917F39A"/>
    <w:rsid w:val="0BCDD05B"/>
    <w:rsid w:val="0EFDE065"/>
    <w:rsid w:val="1257E128"/>
    <w:rsid w:val="136F57F3"/>
    <w:rsid w:val="15EE6019"/>
    <w:rsid w:val="16E7348D"/>
    <w:rsid w:val="17B70A50"/>
    <w:rsid w:val="17EFAEC9"/>
    <w:rsid w:val="17F7CC27"/>
    <w:rsid w:val="17FF6EEF"/>
    <w:rsid w:val="19F5286D"/>
    <w:rsid w:val="1BBFFF49"/>
    <w:rsid w:val="1BDE2716"/>
    <w:rsid w:val="1D769DAE"/>
    <w:rsid w:val="1DE71723"/>
    <w:rsid w:val="1DF7E8BA"/>
    <w:rsid w:val="1EF98F70"/>
    <w:rsid w:val="1EFF6B99"/>
    <w:rsid w:val="1FD7673A"/>
    <w:rsid w:val="1FFF375E"/>
    <w:rsid w:val="23994760"/>
    <w:rsid w:val="25FF1916"/>
    <w:rsid w:val="27F313BE"/>
    <w:rsid w:val="2ADA2EF6"/>
    <w:rsid w:val="2BFD0081"/>
    <w:rsid w:val="2C5EE09C"/>
    <w:rsid w:val="2DDF0EA0"/>
    <w:rsid w:val="2EAF64E1"/>
    <w:rsid w:val="2FBF9B59"/>
    <w:rsid w:val="2FDF11F5"/>
    <w:rsid w:val="2FFEA1D3"/>
    <w:rsid w:val="2FFF818C"/>
    <w:rsid w:val="319F9284"/>
    <w:rsid w:val="31DF5F6A"/>
    <w:rsid w:val="31E43162"/>
    <w:rsid w:val="336FF91A"/>
    <w:rsid w:val="33BE70DA"/>
    <w:rsid w:val="34AD3D19"/>
    <w:rsid w:val="35BF6FDD"/>
    <w:rsid w:val="35EF8A65"/>
    <w:rsid w:val="35F7BAAE"/>
    <w:rsid w:val="36BC0027"/>
    <w:rsid w:val="375B40EB"/>
    <w:rsid w:val="37E71F51"/>
    <w:rsid w:val="37E7A0DD"/>
    <w:rsid w:val="37EDF658"/>
    <w:rsid w:val="37F7AC4A"/>
    <w:rsid w:val="37FEB131"/>
    <w:rsid w:val="38BD65B8"/>
    <w:rsid w:val="39F7E994"/>
    <w:rsid w:val="3AEE4204"/>
    <w:rsid w:val="3B7E8A20"/>
    <w:rsid w:val="3B7EB8B0"/>
    <w:rsid w:val="3BBF58E9"/>
    <w:rsid w:val="3BD4BB3B"/>
    <w:rsid w:val="3BE3EFDB"/>
    <w:rsid w:val="3BFD6459"/>
    <w:rsid w:val="3BFE0777"/>
    <w:rsid w:val="3C954D2E"/>
    <w:rsid w:val="3CDF3C17"/>
    <w:rsid w:val="3D3DCA15"/>
    <w:rsid w:val="3D70FE8A"/>
    <w:rsid w:val="3D7D9D51"/>
    <w:rsid w:val="3D9E487D"/>
    <w:rsid w:val="3DAF7D4C"/>
    <w:rsid w:val="3DB556AB"/>
    <w:rsid w:val="3DBF1ABF"/>
    <w:rsid w:val="3DF79E7D"/>
    <w:rsid w:val="3E5F08DE"/>
    <w:rsid w:val="3E7D066E"/>
    <w:rsid w:val="3E7E4D8C"/>
    <w:rsid w:val="3EAF3DB1"/>
    <w:rsid w:val="3EB5D12E"/>
    <w:rsid w:val="3EF79A83"/>
    <w:rsid w:val="3EFB4C02"/>
    <w:rsid w:val="3F252F77"/>
    <w:rsid w:val="3F46D629"/>
    <w:rsid w:val="3F4E41C2"/>
    <w:rsid w:val="3F7702DA"/>
    <w:rsid w:val="3F7E7976"/>
    <w:rsid w:val="3F7F5633"/>
    <w:rsid w:val="3FB8C659"/>
    <w:rsid w:val="3FBD23EF"/>
    <w:rsid w:val="3FD70DE1"/>
    <w:rsid w:val="3FF14C96"/>
    <w:rsid w:val="3FF39DC5"/>
    <w:rsid w:val="3FFD4F9A"/>
    <w:rsid w:val="3FFE8C1A"/>
    <w:rsid w:val="437F420C"/>
    <w:rsid w:val="45F984E9"/>
    <w:rsid w:val="477BBCC1"/>
    <w:rsid w:val="47C0E221"/>
    <w:rsid w:val="4B7CA283"/>
    <w:rsid w:val="4DCE1488"/>
    <w:rsid w:val="4DFB3313"/>
    <w:rsid w:val="4EF11EBE"/>
    <w:rsid w:val="4F2F8566"/>
    <w:rsid w:val="4F3EF8BD"/>
    <w:rsid w:val="4F5B4348"/>
    <w:rsid w:val="4F77984A"/>
    <w:rsid w:val="4FF9F655"/>
    <w:rsid w:val="525AD853"/>
    <w:rsid w:val="52B73AF2"/>
    <w:rsid w:val="52BB234C"/>
    <w:rsid w:val="53BE29D0"/>
    <w:rsid w:val="53DBE59E"/>
    <w:rsid w:val="53FF9594"/>
    <w:rsid w:val="551D27FD"/>
    <w:rsid w:val="55B7F005"/>
    <w:rsid w:val="55BD6B73"/>
    <w:rsid w:val="55FB4543"/>
    <w:rsid w:val="56F48AC8"/>
    <w:rsid w:val="57B74EA0"/>
    <w:rsid w:val="57BB857B"/>
    <w:rsid w:val="57BE955A"/>
    <w:rsid w:val="57EBAF66"/>
    <w:rsid w:val="57FC6F44"/>
    <w:rsid w:val="57FFAF04"/>
    <w:rsid w:val="57FFB581"/>
    <w:rsid w:val="57FFC25B"/>
    <w:rsid w:val="592BD5F7"/>
    <w:rsid w:val="5ADB628E"/>
    <w:rsid w:val="5ADF68B5"/>
    <w:rsid w:val="5B1F0ED7"/>
    <w:rsid w:val="5BBB8A7E"/>
    <w:rsid w:val="5BF73F47"/>
    <w:rsid w:val="5BFC28F6"/>
    <w:rsid w:val="5BFF9A22"/>
    <w:rsid w:val="5C7F65C8"/>
    <w:rsid w:val="5D51126F"/>
    <w:rsid w:val="5D7FA57F"/>
    <w:rsid w:val="5D8E9042"/>
    <w:rsid w:val="5DA8B82C"/>
    <w:rsid w:val="5DCB057D"/>
    <w:rsid w:val="5DF73EED"/>
    <w:rsid w:val="5DFB4B27"/>
    <w:rsid w:val="5DFC16CE"/>
    <w:rsid w:val="5E6BC400"/>
    <w:rsid w:val="5EEFEE13"/>
    <w:rsid w:val="5F4A91AE"/>
    <w:rsid w:val="5F76D958"/>
    <w:rsid w:val="5F793C98"/>
    <w:rsid w:val="5FB830D9"/>
    <w:rsid w:val="5FBF51FA"/>
    <w:rsid w:val="5FBF7DA6"/>
    <w:rsid w:val="5FBFF834"/>
    <w:rsid w:val="5FC58899"/>
    <w:rsid w:val="5FCBF193"/>
    <w:rsid w:val="5FCF1080"/>
    <w:rsid w:val="5FCFAADF"/>
    <w:rsid w:val="5FE11E8A"/>
    <w:rsid w:val="5FE729E8"/>
    <w:rsid w:val="5FEB5E04"/>
    <w:rsid w:val="5FF92934"/>
    <w:rsid w:val="5FFE27E0"/>
    <w:rsid w:val="5FFF094B"/>
    <w:rsid w:val="5FFF7191"/>
    <w:rsid w:val="617E437B"/>
    <w:rsid w:val="61DFE541"/>
    <w:rsid w:val="625F0E68"/>
    <w:rsid w:val="637B8B77"/>
    <w:rsid w:val="63E7301E"/>
    <w:rsid w:val="65760DBD"/>
    <w:rsid w:val="66B9D589"/>
    <w:rsid w:val="66BB026D"/>
    <w:rsid w:val="66F947BF"/>
    <w:rsid w:val="677BFC07"/>
    <w:rsid w:val="67ADAE1E"/>
    <w:rsid w:val="67FA48A8"/>
    <w:rsid w:val="685D0A2A"/>
    <w:rsid w:val="6ADC1A8A"/>
    <w:rsid w:val="6CED1292"/>
    <w:rsid w:val="6CEF1B11"/>
    <w:rsid w:val="6DFB6784"/>
    <w:rsid w:val="6DFF7066"/>
    <w:rsid w:val="6E7F089C"/>
    <w:rsid w:val="6EFDC570"/>
    <w:rsid w:val="6EFF6491"/>
    <w:rsid w:val="6F370891"/>
    <w:rsid w:val="6FB7D354"/>
    <w:rsid w:val="6FBD1221"/>
    <w:rsid w:val="6FBD590D"/>
    <w:rsid w:val="6FBF0441"/>
    <w:rsid w:val="6FBFFF74"/>
    <w:rsid w:val="6FCE7DEF"/>
    <w:rsid w:val="6FDF82DB"/>
    <w:rsid w:val="6FDFCD6C"/>
    <w:rsid w:val="6FFE91F8"/>
    <w:rsid w:val="6FFF0BB6"/>
    <w:rsid w:val="6FFF1742"/>
    <w:rsid w:val="70F53FF1"/>
    <w:rsid w:val="715FA5D8"/>
    <w:rsid w:val="7187FF26"/>
    <w:rsid w:val="71BF0A97"/>
    <w:rsid w:val="71EF6B2D"/>
    <w:rsid w:val="725FC95D"/>
    <w:rsid w:val="72B6E036"/>
    <w:rsid w:val="72FFFE91"/>
    <w:rsid w:val="73EF7FC5"/>
    <w:rsid w:val="74FD918F"/>
    <w:rsid w:val="74FFBE40"/>
    <w:rsid w:val="7573DBFB"/>
    <w:rsid w:val="75770C3B"/>
    <w:rsid w:val="75FE85E3"/>
    <w:rsid w:val="75FF5641"/>
    <w:rsid w:val="76661AEF"/>
    <w:rsid w:val="767B95B8"/>
    <w:rsid w:val="76AE177A"/>
    <w:rsid w:val="76BF2DB6"/>
    <w:rsid w:val="76DE6B6A"/>
    <w:rsid w:val="76EED96B"/>
    <w:rsid w:val="775FA15E"/>
    <w:rsid w:val="77AF5FF9"/>
    <w:rsid w:val="77C2F674"/>
    <w:rsid w:val="77CEDD0C"/>
    <w:rsid w:val="77DF5550"/>
    <w:rsid w:val="77EF019F"/>
    <w:rsid w:val="77F73B35"/>
    <w:rsid w:val="77F7F4A4"/>
    <w:rsid w:val="77FB1182"/>
    <w:rsid w:val="77FD6AEA"/>
    <w:rsid w:val="77FF1178"/>
    <w:rsid w:val="77FF5167"/>
    <w:rsid w:val="77FF86E4"/>
    <w:rsid w:val="77FF8C5D"/>
    <w:rsid w:val="787575B3"/>
    <w:rsid w:val="787A1E25"/>
    <w:rsid w:val="78839203"/>
    <w:rsid w:val="789FA2D1"/>
    <w:rsid w:val="792EF2A0"/>
    <w:rsid w:val="79938BFB"/>
    <w:rsid w:val="79B377A6"/>
    <w:rsid w:val="79BF4108"/>
    <w:rsid w:val="79C202DB"/>
    <w:rsid w:val="7A7DC18E"/>
    <w:rsid w:val="7AAF00FA"/>
    <w:rsid w:val="7AE3AB82"/>
    <w:rsid w:val="7AF2DCFD"/>
    <w:rsid w:val="7AFF6277"/>
    <w:rsid w:val="7B2F3B68"/>
    <w:rsid w:val="7B7A3E6C"/>
    <w:rsid w:val="7BAF32A5"/>
    <w:rsid w:val="7BDF1C74"/>
    <w:rsid w:val="7BDFA697"/>
    <w:rsid w:val="7BE1A0F9"/>
    <w:rsid w:val="7BEFACBA"/>
    <w:rsid w:val="7BF75C86"/>
    <w:rsid w:val="7BF75CE7"/>
    <w:rsid w:val="7BFC152C"/>
    <w:rsid w:val="7BFD4605"/>
    <w:rsid w:val="7BFD5560"/>
    <w:rsid w:val="7BFDA96C"/>
    <w:rsid w:val="7C17782B"/>
    <w:rsid w:val="7C5FC1A8"/>
    <w:rsid w:val="7C9DFAD0"/>
    <w:rsid w:val="7CB7F084"/>
    <w:rsid w:val="7CE31427"/>
    <w:rsid w:val="7CE93E59"/>
    <w:rsid w:val="7CFB5EC2"/>
    <w:rsid w:val="7D7745EA"/>
    <w:rsid w:val="7D7AFDC0"/>
    <w:rsid w:val="7D7D5934"/>
    <w:rsid w:val="7D7DB72E"/>
    <w:rsid w:val="7DCB800B"/>
    <w:rsid w:val="7DDF6AE1"/>
    <w:rsid w:val="7DEE8EA9"/>
    <w:rsid w:val="7DEFF64D"/>
    <w:rsid w:val="7DF3A3C2"/>
    <w:rsid w:val="7DF55F57"/>
    <w:rsid w:val="7DFDC8A7"/>
    <w:rsid w:val="7DFF0943"/>
    <w:rsid w:val="7DFF6AEE"/>
    <w:rsid w:val="7E15D5EB"/>
    <w:rsid w:val="7E3DBF58"/>
    <w:rsid w:val="7E5E7E53"/>
    <w:rsid w:val="7E5F0E6A"/>
    <w:rsid w:val="7E65F6E5"/>
    <w:rsid w:val="7E72389F"/>
    <w:rsid w:val="7EABF179"/>
    <w:rsid w:val="7EB73BA3"/>
    <w:rsid w:val="7EBB67CE"/>
    <w:rsid w:val="7ECF93EA"/>
    <w:rsid w:val="7EDF106C"/>
    <w:rsid w:val="7EF63DC8"/>
    <w:rsid w:val="7EFBA1C7"/>
    <w:rsid w:val="7EFF00A4"/>
    <w:rsid w:val="7EFF0633"/>
    <w:rsid w:val="7EFF0B90"/>
    <w:rsid w:val="7EFFD0EC"/>
    <w:rsid w:val="7F37669B"/>
    <w:rsid w:val="7F3BBDDE"/>
    <w:rsid w:val="7F5AF7A8"/>
    <w:rsid w:val="7F5FAA2B"/>
    <w:rsid w:val="7F630D80"/>
    <w:rsid w:val="7F6F158E"/>
    <w:rsid w:val="7F6F36FE"/>
    <w:rsid w:val="7F6FE6A7"/>
    <w:rsid w:val="7F7F252B"/>
    <w:rsid w:val="7F7F63CD"/>
    <w:rsid w:val="7F7FAAAF"/>
    <w:rsid w:val="7FA7B21C"/>
    <w:rsid w:val="7FB97B42"/>
    <w:rsid w:val="7FBE7948"/>
    <w:rsid w:val="7FBF5C07"/>
    <w:rsid w:val="7FBF6DBC"/>
    <w:rsid w:val="7FBFE172"/>
    <w:rsid w:val="7FBFF5F2"/>
    <w:rsid w:val="7FCD7E26"/>
    <w:rsid w:val="7FCF8EFC"/>
    <w:rsid w:val="7FD3996F"/>
    <w:rsid w:val="7FD757A6"/>
    <w:rsid w:val="7FD90337"/>
    <w:rsid w:val="7FDECA48"/>
    <w:rsid w:val="7FE2A9ED"/>
    <w:rsid w:val="7FE5CB97"/>
    <w:rsid w:val="7FECBA51"/>
    <w:rsid w:val="7FEFEE9F"/>
    <w:rsid w:val="7FF60630"/>
    <w:rsid w:val="7FF7AD63"/>
    <w:rsid w:val="7FFD3683"/>
    <w:rsid w:val="7FFD82F6"/>
    <w:rsid w:val="7FFD892F"/>
    <w:rsid w:val="7FFDB78C"/>
    <w:rsid w:val="7FFDF0BD"/>
    <w:rsid w:val="7FFE7875"/>
    <w:rsid w:val="7FFEE5EE"/>
    <w:rsid w:val="7FFF0A11"/>
    <w:rsid w:val="7FFF113B"/>
    <w:rsid w:val="7FFFA88B"/>
    <w:rsid w:val="7FFFCAEF"/>
    <w:rsid w:val="86DF8BCE"/>
    <w:rsid w:val="8DCF0F49"/>
    <w:rsid w:val="8EE60184"/>
    <w:rsid w:val="8FE7AE00"/>
    <w:rsid w:val="8FF77E0D"/>
    <w:rsid w:val="8FFF9B6B"/>
    <w:rsid w:val="937A6D1D"/>
    <w:rsid w:val="97DC97CF"/>
    <w:rsid w:val="97F3EADA"/>
    <w:rsid w:val="9CF3845B"/>
    <w:rsid w:val="9CFBC8CB"/>
    <w:rsid w:val="9D672152"/>
    <w:rsid w:val="9D7FFDB5"/>
    <w:rsid w:val="9DF5E325"/>
    <w:rsid w:val="9DFED979"/>
    <w:rsid w:val="9E3F61CC"/>
    <w:rsid w:val="9EBF815F"/>
    <w:rsid w:val="9EF7BBCD"/>
    <w:rsid w:val="9F1F9511"/>
    <w:rsid w:val="9FB3998F"/>
    <w:rsid w:val="9FEAB8E8"/>
    <w:rsid w:val="A22F47CC"/>
    <w:rsid w:val="A3BA774E"/>
    <w:rsid w:val="A3FE840D"/>
    <w:rsid w:val="A5E7AA8F"/>
    <w:rsid w:val="A6C7C40E"/>
    <w:rsid w:val="A7E7E654"/>
    <w:rsid w:val="A7EF7D65"/>
    <w:rsid w:val="A7EFA773"/>
    <w:rsid w:val="A7FE6DBD"/>
    <w:rsid w:val="A8FD2737"/>
    <w:rsid w:val="AB14584B"/>
    <w:rsid w:val="ABD36D6B"/>
    <w:rsid w:val="ABFB726A"/>
    <w:rsid w:val="ADAF2267"/>
    <w:rsid w:val="AE73DF46"/>
    <w:rsid w:val="AE7FCA88"/>
    <w:rsid w:val="AF3F34DD"/>
    <w:rsid w:val="AF7EA160"/>
    <w:rsid w:val="AFBBF61C"/>
    <w:rsid w:val="AFBDF409"/>
    <w:rsid w:val="AFCB9045"/>
    <w:rsid w:val="AFD3DFCF"/>
    <w:rsid w:val="AFF2C814"/>
    <w:rsid w:val="AFFACB56"/>
    <w:rsid w:val="AFFF629A"/>
    <w:rsid w:val="B1BFCAD2"/>
    <w:rsid w:val="B1CD7498"/>
    <w:rsid w:val="B2EF8B94"/>
    <w:rsid w:val="B4CA71F1"/>
    <w:rsid w:val="B4F7A536"/>
    <w:rsid w:val="B5FBD7C0"/>
    <w:rsid w:val="B5FE01E6"/>
    <w:rsid w:val="B6DA9D33"/>
    <w:rsid w:val="B6FE7505"/>
    <w:rsid w:val="B7FF7F2E"/>
    <w:rsid w:val="B7FFE8CF"/>
    <w:rsid w:val="B9B76172"/>
    <w:rsid w:val="BB7BDEDD"/>
    <w:rsid w:val="BBA33C28"/>
    <w:rsid w:val="BBBFE11B"/>
    <w:rsid w:val="BBE53382"/>
    <w:rsid w:val="BBEAE9B2"/>
    <w:rsid w:val="BBEFB62E"/>
    <w:rsid w:val="BBF9E8C4"/>
    <w:rsid w:val="BC95656C"/>
    <w:rsid w:val="BCB54263"/>
    <w:rsid w:val="BCFCCB72"/>
    <w:rsid w:val="BD6FC7AE"/>
    <w:rsid w:val="BD8E3FC1"/>
    <w:rsid w:val="BDE52A99"/>
    <w:rsid w:val="BDFACC87"/>
    <w:rsid w:val="BE295D80"/>
    <w:rsid w:val="BE675A3E"/>
    <w:rsid w:val="BE772437"/>
    <w:rsid w:val="BECF4AAD"/>
    <w:rsid w:val="BEFF1DBD"/>
    <w:rsid w:val="BEFF3D0B"/>
    <w:rsid w:val="BEFFFCB8"/>
    <w:rsid w:val="BF26668C"/>
    <w:rsid w:val="BF6F75EB"/>
    <w:rsid w:val="BFBB2C55"/>
    <w:rsid w:val="BFBD749B"/>
    <w:rsid w:val="BFCBB051"/>
    <w:rsid w:val="BFD74D09"/>
    <w:rsid w:val="BFE72F08"/>
    <w:rsid w:val="BFFB4B77"/>
    <w:rsid w:val="BFFD2563"/>
    <w:rsid w:val="BFFD644B"/>
    <w:rsid w:val="BFFDB6B7"/>
    <w:rsid w:val="BFFDE12A"/>
    <w:rsid w:val="BFFF0761"/>
    <w:rsid w:val="C1F7EC8E"/>
    <w:rsid w:val="C2CF95DC"/>
    <w:rsid w:val="C33F0A24"/>
    <w:rsid w:val="C5BFA4C6"/>
    <w:rsid w:val="C8FD850F"/>
    <w:rsid w:val="C92FC925"/>
    <w:rsid w:val="CAE9118F"/>
    <w:rsid w:val="CB9F0319"/>
    <w:rsid w:val="CBB782AA"/>
    <w:rsid w:val="CBBABA57"/>
    <w:rsid w:val="CBEF0F4E"/>
    <w:rsid w:val="CBFF7EA6"/>
    <w:rsid w:val="CDFDEF70"/>
    <w:rsid w:val="CDFFA770"/>
    <w:rsid w:val="CE72F8F9"/>
    <w:rsid w:val="CED7008F"/>
    <w:rsid w:val="CEF7D389"/>
    <w:rsid w:val="CFAFAFC0"/>
    <w:rsid w:val="CFAFFA6C"/>
    <w:rsid w:val="CFD396C5"/>
    <w:rsid w:val="CFE7956F"/>
    <w:rsid w:val="CFF7990A"/>
    <w:rsid w:val="CFF8B1EF"/>
    <w:rsid w:val="CFFE0F0B"/>
    <w:rsid w:val="D3973ED4"/>
    <w:rsid w:val="D39FD02B"/>
    <w:rsid w:val="D5BF9B39"/>
    <w:rsid w:val="D5EBA325"/>
    <w:rsid w:val="D5FF3010"/>
    <w:rsid w:val="D5FFDCB8"/>
    <w:rsid w:val="D6FC034D"/>
    <w:rsid w:val="D77785D1"/>
    <w:rsid w:val="D79D008E"/>
    <w:rsid w:val="D7FB4859"/>
    <w:rsid w:val="D7FF555F"/>
    <w:rsid w:val="D8AF5183"/>
    <w:rsid w:val="DADF4492"/>
    <w:rsid w:val="DAFB21DE"/>
    <w:rsid w:val="DB9D14CD"/>
    <w:rsid w:val="DBBBC3E4"/>
    <w:rsid w:val="DBEB44AD"/>
    <w:rsid w:val="DBF1874D"/>
    <w:rsid w:val="DC79DB60"/>
    <w:rsid w:val="DDD108E8"/>
    <w:rsid w:val="DDDFA6A4"/>
    <w:rsid w:val="DE5DEB82"/>
    <w:rsid w:val="DE7DDB59"/>
    <w:rsid w:val="DEFE09CD"/>
    <w:rsid w:val="DF1E0377"/>
    <w:rsid w:val="DFBC43BE"/>
    <w:rsid w:val="DFD7D565"/>
    <w:rsid w:val="DFDDBA34"/>
    <w:rsid w:val="DFE3F476"/>
    <w:rsid w:val="DFE7E13D"/>
    <w:rsid w:val="DFE8B838"/>
    <w:rsid w:val="DFED1F67"/>
    <w:rsid w:val="DFF8881E"/>
    <w:rsid w:val="DFFB176F"/>
    <w:rsid w:val="DFFE5EAD"/>
    <w:rsid w:val="E1BB38D0"/>
    <w:rsid w:val="E2BD7987"/>
    <w:rsid w:val="E2F98E1B"/>
    <w:rsid w:val="E39E3805"/>
    <w:rsid w:val="E39E6618"/>
    <w:rsid w:val="E4DCFBC2"/>
    <w:rsid w:val="E57FA1D9"/>
    <w:rsid w:val="E58F7EAE"/>
    <w:rsid w:val="E5F86590"/>
    <w:rsid w:val="E6FC6235"/>
    <w:rsid w:val="E72FED36"/>
    <w:rsid w:val="E76F97CA"/>
    <w:rsid w:val="E76FEB8A"/>
    <w:rsid w:val="E77E542B"/>
    <w:rsid w:val="E77FDAAC"/>
    <w:rsid w:val="E7ABE8D7"/>
    <w:rsid w:val="E7B24300"/>
    <w:rsid w:val="E87FC62C"/>
    <w:rsid w:val="E9FF4558"/>
    <w:rsid w:val="EA6FB08B"/>
    <w:rsid w:val="EA7F76CD"/>
    <w:rsid w:val="EB546F76"/>
    <w:rsid w:val="EBB78B74"/>
    <w:rsid w:val="EBB7FDBE"/>
    <w:rsid w:val="EBDEB97D"/>
    <w:rsid w:val="EBDF688F"/>
    <w:rsid w:val="EBF360BC"/>
    <w:rsid w:val="EBF36A57"/>
    <w:rsid w:val="ECE7CEBD"/>
    <w:rsid w:val="ECFF671E"/>
    <w:rsid w:val="ED7CADF9"/>
    <w:rsid w:val="ED7F4632"/>
    <w:rsid w:val="ED9DA056"/>
    <w:rsid w:val="EE7D2368"/>
    <w:rsid w:val="EF5285A0"/>
    <w:rsid w:val="EF5F2998"/>
    <w:rsid w:val="EF8FA269"/>
    <w:rsid w:val="EF9C9247"/>
    <w:rsid w:val="EFA963EF"/>
    <w:rsid w:val="EFBDB0B6"/>
    <w:rsid w:val="EFBDE625"/>
    <w:rsid w:val="EFBFC348"/>
    <w:rsid w:val="EFBFC683"/>
    <w:rsid w:val="EFD33AD6"/>
    <w:rsid w:val="EFD7D22D"/>
    <w:rsid w:val="EFD7F259"/>
    <w:rsid w:val="EFE68F3D"/>
    <w:rsid w:val="EFE7C781"/>
    <w:rsid w:val="EFEBFF5B"/>
    <w:rsid w:val="EFEDF086"/>
    <w:rsid w:val="EFEF5737"/>
    <w:rsid w:val="EFFB7965"/>
    <w:rsid w:val="EFFD84D5"/>
    <w:rsid w:val="EFFFDDD1"/>
    <w:rsid w:val="F19D4914"/>
    <w:rsid w:val="F1DF7970"/>
    <w:rsid w:val="F27C9A89"/>
    <w:rsid w:val="F33DFA19"/>
    <w:rsid w:val="F375F5B7"/>
    <w:rsid w:val="F3B5A271"/>
    <w:rsid w:val="F3FB3AE0"/>
    <w:rsid w:val="F4370DA1"/>
    <w:rsid w:val="F4454823"/>
    <w:rsid w:val="F56B14F8"/>
    <w:rsid w:val="F5D59990"/>
    <w:rsid w:val="F5E800B2"/>
    <w:rsid w:val="F5FBBD8E"/>
    <w:rsid w:val="F66F4C57"/>
    <w:rsid w:val="F66FFA30"/>
    <w:rsid w:val="F7553AD6"/>
    <w:rsid w:val="F757E364"/>
    <w:rsid w:val="F75D04B8"/>
    <w:rsid w:val="F777CEFF"/>
    <w:rsid w:val="F77D9DB9"/>
    <w:rsid w:val="F77F18DA"/>
    <w:rsid w:val="F7BFC771"/>
    <w:rsid w:val="F7F674C3"/>
    <w:rsid w:val="F7FA5948"/>
    <w:rsid w:val="F7FB762E"/>
    <w:rsid w:val="F7FBDA02"/>
    <w:rsid w:val="F7FE90A3"/>
    <w:rsid w:val="F7FFA798"/>
    <w:rsid w:val="F7FFAC05"/>
    <w:rsid w:val="F83F947D"/>
    <w:rsid w:val="F8B98818"/>
    <w:rsid w:val="F8EDA600"/>
    <w:rsid w:val="F95FE103"/>
    <w:rsid w:val="F9AE53D5"/>
    <w:rsid w:val="F9F2CA71"/>
    <w:rsid w:val="F9FF38BC"/>
    <w:rsid w:val="F9FFB7C9"/>
    <w:rsid w:val="FA6790B9"/>
    <w:rsid w:val="FAB7A2CA"/>
    <w:rsid w:val="FADD7A78"/>
    <w:rsid w:val="FAF3F46F"/>
    <w:rsid w:val="FAF7595D"/>
    <w:rsid w:val="FAF8E221"/>
    <w:rsid w:val="FB7F890E"/>
    <w:rsid w:val="FB7F9F90"/>
    <w:rsid w:val="FBBF4DA2"/>
    <w:rsid w:val="FBF9836A"/>
    <w:rsid w:val="FBFB0465"/>
    <w:rsid w:val="FBFEC331"/>
    <w:rsid w:val="FBFF92F3"/>
    <w:rsid w:val="FCBD3033"/>
    <w:rsid w:val="FCF55A98"/>
    <w:rsid w:val="FCFE2E03"/>
    <w:rsid w:val="FCFF8C47"/>
    <w:rsid w:val="FD7CCE33"/>
    <w:rsid w:val="FDAD7CC2"/>
    <w:rsid w:val="FDDF9EC8"/>
    <w:rsid w:val="FDDFDB54"/>
    <w:rsid w:val="FDEF35F3"/>
    <w:rsid w:val="FDF68F82"/>
    <w:rsid w:val="FDF6F698"/>
    <w:rsid w:val="FDF74B42"/>
    <w:rsid w:val="FDFBED27"/>
    <w:rsid w:val="FE3192B6"/>
    <w:rsid w:val="FE7448E5"/>
    <w:rsid w:val="FEBC1E71"/>
    <w:rsid w:val="FECD4FFE"/>
    <w:rsid w:val="FEDDA940"/>
    <w:rsid w:val="FEEFEE18"/>
    <w:rsid w:val="FEF13E56"/>
    <w:rsid w:val="FEF300E8"/>
    <w:rsid w:val="FEF7C484"/>
    <w:rsid w:val="FEFF66D6"/>
    <w:rsid w:val="FF2F7502"/>
    <w:rsid w:val="FF33A36E"/>
    <w:rsid w:val="FF33D48B"/>
    <w:rsid w:val="FF3B4F34"/>
    <w:rsid w:val="FF5C3BFD"/>
    <w:rsid w:val="FF6B707E"/>
    <w:rsid w:val="FF7DB008"/>
    <w:rsid w:val="FF7F5668"/>
    <w:rsid w:val="FF9B0F85"/>
    <w:rsid w:val="FF9B6B84"/>
    <w:rsid w:val="FFAF54F8"/>
    <w:rsid w:val="FFAF77A7"/>
    <w:rsid w:val="FFBD6D22"/>
    <w:rsid w:val="FFBF40CD"/>
    <w:rsid w:val="FFDAC770"/>
    <w:rsid w:val="FFDDB6E9"/>
    <w:rsid w:val="FFE640E6"/>
    <w:rsid w:val="FFEFA5B6"/>
    <w:rsid w:val="FFF5D372"/>
    <w:rsid w:val="FFF6D6DA"/>
    <w:rsid w:val="FFF7B516"/>
    <w:rsid w:val="FFF97307"/>
    <w:rsid w:val="FFF9C397"/>
    <w:rsid w:val="FFFB51B9"/>
    <w:rsid w:val="FFFBA594"/>
    <w:rsid w:val="FFFC0FA4"/>
    <w:rsid w:val="FFFC822F"/>
    <w:rsid w:val="FFFD5315"/>
    <w:rsid w:val="FFFD9859"/>
    <w:rsid w:val="FFFDE286"/>
    <w:rsid w:val="FFFE1A73"/>
    <w:rsid w:val="FFFE6FC1"/>
    <w:rsid w:val="FFFEF051"/>
    <w:rsid w:val="FFFF3B4F"/>
    <w:rsid w:val="FFFF5A3B"/>
    <w:rsid w:val="FFFF6711"/>
    <w:rsid w:val="FFFF748D"/>
    <w:rsid w:val="FFFFEF36"/>
    <w:rsid w:val="FFFFFF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Office_3.1.5.6233_F1E327BC-269C-435d-A152-05C5408002CA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2022-12-02T15:36:03Z</dcterms:created>
  <dc:creator>Data</dc:creator>
  <cp:lastModifiedBy>xugx</cp:lastModifiedBy>
  <dcterms:modified xsi:type="dcterms:W3CDTF">2022-12-02T19:01:33Z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1033-3.1.5.6233</vt:lpwstr>
  </property>
</Properties>
</file>