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Projektcharta – Datenanalyseprojekt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3"/>
        <w:gridCol w:w="3403"/>
      </w:tblGrid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Projekt-Nr.: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IHK-DA-2026-02</w:t>
            </w:r>
          </w:p>
        </w:tc>
        <w:tc>
          <w:tcPr>
            <w:tcW w:type="dxa" w:w="34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Datum: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15.10.2026</w:t>
            </w:r>
          </w:p>
        </w:tc>
        <w:tc>
          <w:tcPr>
            <w:tcW w:type="dxa" w:w="34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Version: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</w:tr>
    </w:tbl>
    <w:p>
      <w:pPr>
        <w:spacing w:after="20" w:before="100"/>
        <w:jc w:val="left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Projekt-Titel: </w:t>
      </w:r>
      <w:r>
        <w:rPr>
          <w:rFonts w:ascii="Calibri" w:cs="Calibri" w:eastAsia="Calibri" w:hAnsi="Calibri"/>
          <w:sz w:val="19"/>
          <w:szCs w:val="19"/>
        </w:rPr>
        <w:t xml:space="preserve">Profitabilitätsanalyse Superstore je Verkaufsregion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Projektleiter: </w:t>
      </w:r>
      <w:r>
        <w:rPr>
          <w:rFonts w:ascii="Calibri" w:cs="Calibri" w:eastAsia="Calibri" w:hAnsi="Calibri"/>
          <w:sz w:val="19"/>
          <w:szCs w:val="19"/>
        </w:rPr>
        <w:t xml:space="preserve">Mesut Karagöz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 Case: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Problem-Formulierung: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Superstore (fiktiver Händler für Möbel, Bürobedarf und Technik in USA und Kanada) wächst: Umsatz 493.660 (2023) → 745.568 (2026).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Gleichzeitig schreiben 1.900 von 10.192 Bestellpositionen (18,6 %) Verlust, zusammen −157.027.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Gesamtmarge 12,6 %; je Region zwischen 7,9 % (Central) und 15,0 % (West).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Nutzen: Profitabilität je Region verbessern und Vertriebsplanung auf eine nachvollziehbare Datengrundlage stellen.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Beträge in der Währung der Quelldatei (siehe Risiken).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Eine einheitliche Rabatt- und Vertriebsregel für alle vier Regionen reicht der Geschäftsführung nicht. Es ist unklar, wie Gewinn und Retouren mit Produkten, Segmenten, Versandart und Rabatten zusammenhängen. Leitfragen: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Wie unterscheiden sich Central, East, South und West bei Umsatz, Gewinn und Bestellungen im Jahres-, Monats- und Wochenverlauf?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Wie hängen Gewinn und Retouren mit Kategorie, Segment, Region und Versandart zusammen?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Wie hängen Rabatte und Umsatz je Stück mit Absatzmenge und Profitabilität zusammen?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Welche Regeln für Rabatte, Produktschwerpunkte oder Vertrieb schlagen wir je Region vor?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Zielformulierung (SMART, Tools):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Risiken: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 4 Leitfragen im Vergleich der Regionen Central, East, South und West beantworten und 2–3 Empfehlungen ableiten.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 Leitfrage mind. eine Kennzahl je Region (Umsatz, Gewinn, Marge, Bestellungen, Retourenquote, Verlustpositionsquote, Rabattquote); jede Empfehlung nennt eine Zahl und einen als Annahme gekennzeichneten Effekt.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Größter Hebel laut Daten: Positionen mit mehr als 20 % Rabatt erzeugen −136.009 Gewinn.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Daten vollständig (keine fehlenden Werte), 4 Personen, 4 Arbeitstage.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Abgabe 20.10.2026, 23:59 Uhr; Präsentation 23.10.2026.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Tools: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KNIME (ETL, Analyse, optional Entscheidungsbaum), Microsoft Power BI (Datenmodell, DAX, Dashboard), Word, PowerPoint, Teams.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Währung in der Datei nicht dokumentiert (USA und Kanada): einheitliche Währung angenommen und benannt.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Keine Kosten- oder Einkaufsdaten; Profit ist vorgegeben.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Retouren nur auf Bestellebene, nicht je Produkt oder Menge.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Zusammenhang ist nicht Ursache (z. B. Rabatt und Verlust).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Datenqualität: 2 Duplikate, 32 Product IDs mit mehreren Namen, Postal Code mit gemischtem Datentyp.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Kanada nur 200 Positionen (2 %): geringe Aussagekraft.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Zeitdruck; Power BI hängt vom KNIME-Export ab.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Projektteam: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Unterstützendes Personal:</w:t>
            </w:r>
          </w:p>
        </w:tc>
      </w:tr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tbl>
            <w:tblPr>
              <w:tblW w:type="dxa" w:w="490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102"/>
            </w:tblGrid>
            <w:tr>
              <w:tc>
                <w:tcPr>
                  <w:tcW w:type="dxa" w:w="18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FFE699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Name:</w:t>
                  </w:r>
                </w:p>
              </w:tc>
              <w:tc>
                <w:tcPr>
                  <w:tcW w:type="dxa" w:w="310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FFE699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Rolle: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Mesut Karagöz</w:t>
                  </w:r>
                </w:p>
              </w:tc>
              <w:tc>
                <w:tcPr>
                  <w:tcW w:type="dxa" w:w="310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Projektleiter: Charta, Dokumentation, Empfehlungen, Präsentation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Erol</w:t>
                  </w:r>
                </w:p>
              </w:tc>
              <w:tc>
                <w:tcPr>
                  <w:tcW w:type="dxa" w:w="310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Data Analyst (KNIME): ETL, Datenqualität, Export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Vivien</w:t>
                  </w:r>
                </w:p>
              </w:tc>
              <w:tc>
                <w:tcPr>
                  <w:tcW w:type="dxa" w:w="310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Data Analyst (KNIME): Analysen, Kennzahlen, optional Entscheidungsbaum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Gözde</w:t>
                  </w:r>
                </w:p>
              </w:tc>
              <w:tc>
                <w:tcPr>
                  <w:tcW w:type="dxa" w:w="310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BI Analyst (Power BI): Datenmodell, DAX, Dashboard</w:t>
                  </w:r>
                </w:p>
              </w:tc>
            </w:tr>
          </w:tbl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tbl>
            <w:tblPr>
              <w:tblW w:type="dxa" w:w="490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102"/>
            </w:tblGrid>
            <w:tr>
              <w:tc>
                <w:tcPr>
                  <w:tcW w:type="dxa" w:w="18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FFE699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Name:</w:t>
                  </w:r>
                </w:p>
              </w:tc>
              <w:tc>
                <w:tcPr>
                  <w:tcW w:type="dxa" w:w="310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FFE699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Rolle: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Dr. Denis Düsseldorf</w:t>
                  </w:r>
                </w:p>
              </w:tc>
              <w:tc>
                <w:tcPr>
                  <w:tcW w:type="dxa" w:w="310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Trainer, fachliche Beratung, Bewertung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Geschäftsführung Superstore</w:t>
                  </w:r>
                </w:p>
              </w:tc>
              <w:tc>
                <w:tcPr>
                  <w:tcW w:type="dxa" w:w="310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Auftraggeber, Abnahme der Ergebnisse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Regional Manager (lt. Tabelle People)</w:t>
                  </w:r>
                </w:p>
              </w:tc>
              <w:tc>
                <w:tcPr>
                  <w:tcW w:type="dxa" w:w="310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Stakeholder je Region, Umsetzung der Empfehlungen</w:t>
                  </w:r>
                </w:p>
              </w:tc>
            </w:tr>
          </w:tbl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ageBreakBefore/>
        <w:spacing w:after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Scope: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Geschätzter Effekt des Projektes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 Scope: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Tabellen Orders, People, Returns; Bestellungen 03.01.2023 bis 30.12.2026; USA und Kanada; 4 Verkaufsregionen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ETL und Analyse in KNIME, Dashboard in Power BI, 2–3 Empfehlungen</w:t>
            </w:r>
          </w:p>
          <w:p>
            <w:pPr>
              <w:spacing w:after="2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Nicht im Scope: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Prognosen, Kosten- und Lagerdaten, externe Quellen, Währungsumrechnung, Rückrechnung von Erstattungen, Live-Datenbank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Transparenz über Verlusttreiber je Region im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Positionen mit mehr als 20 % Rabatt: 1.414 Positionen, −136.009 Gewinn.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 Absatzmenge je Position ist in allen Rabattklassen gleich (ca. 3,8 Stück): Rabatte steigern die Menge laut Daten nicht.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Annahme: Wird die Hälfte dieses Verlusts durch eine Rabattgrenze vermieden, steigt der Gewinn um ca. 68.000 (+23 %). Überprüfung über einen Pilot in Region Central.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3"/>
        <w:gridCol w:w="3403"/>
      </w:tblGrid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Datum Projektstart: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15.10.2026</w:t>
            </w:r>
          </w:p>
        </w:tc>
        <w:tc>
          <w:tcPr>
            <w:tcW w:type="dxa" w:w="34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Datum Überprüfung: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21.10.2026 (Feedback)</w:t>
            </w:r>
          </w:p>
        </w:tc>
        <w:tc>
          <w:tcPr>
            <w:tcW w:type="dxa" w:w="34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Gesch. Datum Fertigstellung: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20.10.2026 (Abgabe)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102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Zentrale Meilensteine des Projektes:</w:t>
            </w:r>
          </w:p>
        </w:tc>
      </w:tr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6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Titel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6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Geschätztes Datum Erreichung</w:t>
            </w:r>
          </w:p>
        </w:tc>
      </w:tr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M1 Projektcharta abgestimmt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15.10.2026</w:t>
            </w:r>
          </w:p>
        </w:tc>
      </w:tr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M2 Daten verstanden, Datenqualität geprüft (EDA)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15.10.2026</w:t>
            </w:r>
          </w:p>
        </w:tc>
      </w:tr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M3 KNIME-ETL fertig, bereinigte Daten exportiert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16.10.2026</w:t>
            </w:r>
          </w:p>
        </w:tc>
      </w:tr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M4 Analysen zu den Leitfragen 1–3 abgeschlossen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19.10.2026</w:t>
            </w:r>
          </w:p>
        </w:tc>
      </w:tr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M5 Power-BI-Dashboard und Empfehlungen fertig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19.10.2026</w:t>
            </w:r>
          </w:p>
        </w:tc>
      </w:tr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M6 Dokumentation fertig, Abgabe per Teams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20.10.2026, 23:59 Uhr</w:t>
            </w:r>
          </w:p>
        </w:tc>
      </w:tr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M7 Feedback eingearbeitet, Generalprobe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22.10.2026</w:t>
            </w:r>
          </w:p>
        </w:tc>
      </w:tr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M8 Abschlusspräsentation (30 Min.)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23.10.2026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6"/>
        <w:gridCol w:w="1800"/>
      </w:tblGrid>
      <w:tr>
        <w:tc>
          <w:tcPr>
            <w:tcW w:type="dxa" w:w="102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4C6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Zustimmung zur Projektcharta: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4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 und Unterschrift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Datum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Projektleiter:</w:t>
            </w:r>
          </w:p>
        </w:tc>
        <w:tc>
          <w:tcPr>
            <w:tcW w:type="dxa" w:w="54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Mesut Karagöz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Projekt-Finanzierer:</w:t>
            </w:r>
          </w:p>
        </w:tc>
        <w:tc>
          <w:tcPr>
            <w:tcW w:type="dxa" w:w="54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Geschäftsführung Superstore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Trainer:</w:t>
            </w:r>
          </w:p>
        </w:tc>
        <w:tc>
          <w:tcPr>
            <w:tcW w:type="dxa" w:w="54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Dr. Denis Düsseldorf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Projektcharta Superstore</dc:title>
  <dc:creator>Mesut Karagöz</dc:creator>
  <cp:lastModifiedBy>Un-named</cp:lastModifiedBy>
  <cp:revision>1</cp:revision>
  <dcterms:created xsi:type="dcterms:W3CDTF">2026-10-15T09:59:23.895Z</dcterms:created>
  <dcterms:modified xsi:type="dcterms:W3CDTF">2026-10-15T09:59:23.895Z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