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Projektdokumentation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sz w:val="26"/>
          <w:szCs w:val="26"/>
        </w:rPr>
        <w:t xml:space="preserve">Profitabilitätsanalyse Superstore je Verkaufsregion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656"/>
      </w:tblGrid>
      <w:tr>
        <w:trPr>
          <w:tblHeader/>
        </w:trPr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Angabe</w:t>
            </w:r>
          </w:p>
        </w:tc>
        <w:tc>
          <w:tcPr>
            <w:tcW w:type="dxa" w:w="76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Inhalt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Projekt-Nr.</w:t>
            </w:r>
          </w:p>
        </w:tc>
        <w:tc>
          <w:tcPr>
            <w:tcW w:type="dxa" w:w="76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IHK-DA-2026-02 (siehe Projektcharta)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Gruppe</w:t>
            </w:r>
          </w:p>
        </w:tc>
        <w:tc>
          <w:tcPr>
            <w:tcW w:type="dxa" w:w="76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Gruppe 3 – Mesut Karagöz (Projektleiter), Erol (Data Analyst KNIME: Einlesen, Bereinigung, Joins, Basiskennzahlen bis Verlustkennzeichen), Vivien (Data Analyst KNIME: Rabattklassen, EDA, Ausreißer, Sternschema, Export), Gözde (BI Analyst Power BI)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Dozent</w:t>
            </w:r>
          </w:p>
        </w:tc>
        <w:tc>
          <w:tcPr>
            <w:tcW w:type="dxa" w:w="76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Dr. Denis Düsseldorf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Zeitraum</w:t>
            </w:r>
          </w:p>
        </w:tc>
        <w:tc>
          <w:tcPr>
            <w:tcW w:type="dxa" w:w="76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15.10. – 20.10.2026; Präsentation 23.10.2026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Tools</w:t>
            </w:r>
          </w:p>
        </w:tc>
        <w:tc>
          <w:tcPr>
            <w:tcW w:type="dxa" w:w="76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KNIME Analytics Platform 5 (ETL, EDA), Microsoft Power BI Desktop (Modell, DAX, Bericht)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Abgabe</w:t>
            </w:r>
          </w:p>
        </w:tc>
        <w:tc>
          <w:tcPr>
            <w:tcW w:type="dxa" w:w="76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Projektcharta, diese Dokumentation, KNIME-Workflow „Superstore_Analyse“, Power-BI-Datei (.pbix)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Stil</w:t>
            </w:r>
          </w:p>
        </w:tc>
        <w:tc>
          <w:tcPr>
            <w:tcW w:type="dxa" w:w="76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Stichpunktartig; alle Zahlen in KNIME und Power BI gegengeprüft (Kontrollwerte identisch)</w:t>
            </w:r>
          </w:p>
        </w:tc>
      </w:tr>
    </w:tbl>
    <w:p>
      <w:pPr>
        <w:pStyle w:val="Heading1"/>
        <w:shd w:fill="C6E0B4" w:color="auto" w:val="clear"/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Projektziel &amp; Fragestellung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Case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Superstore: fiktiver Händler (Möbel, Bürobedarf, Technik) in USA und Kanada, 4 Verkaufsregionen.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Umsatz wächst: 493.660 $ (2023) → 745.568 $ (2026) =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+51 %</w:t>
      </w:r>
      <w:r>
        <w:rPr>
          <w:rFonts w:ascii="Calibri" w:cs="Calibri" w:eastAsia="Calibri" w:hAnsi="Calibri"/>
          <w:sz w:val="19"/>
          <w:szCs w:val="19"/>
        </w:rPr>
        <w:t xml:space="preserve">; 2024 leichter Rückgang (472.993 $).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Aber: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1.900 von 10.192 Positionen (18,6 %) mit Verlust</w:t>
      </w:r>
      <w:r>
        <w:rPr>
          <w:rFonts w:ascii="Calibri" w:cs="Calibri" w:eastAsia="Calibri" w:hAnsi="Calibri"/>
          <w:sz w:val="19"/>
          <w:szCs w:val="19"/>
        </w:rPr>
        <w:t xml:space="preserve">, zusammen −157.027 $.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Gesamtmarge 12,6 %; je Region 7,9 % (Central) bis 15,0 % (West).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Leitfragen (Aufgabenstellung Superstore v1.1)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LF1:</w:t>
      </w:r>
      <w:r>
        <w:rPr>
          <w:rFonts w:ascii="Calibri" w:cs="Calibri" w:eastAsia="Calibri" w:hAnsi="Calibri"/>
          <w:sz w:val="19"/>
          <w:szCs w:val="19"/>
        </w:rPr>
        <w:t xml:space="preserve"> Regionen im Jahres-, Monats- und Wochenverlauf (Umsatz, Gewinn, Bestellungen).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LF2:</w:t>
      </w:r>
      <w:r>
        <w:rPr>
          <w:rFonts w:ascii="Calibri" w:cs="Calibri" w:eastAsia="Calibri" w:hAnsi="Calibri"/>
          <w:sz w:val="19"/>
          <w:szCs w:val="19"/>
        </w:rPr>
        <w:t xml:space="preserve"> Gewinn und Retouren nach Kategorie, Segment, Region und Versandart.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LF3:</w:t>
      </w:r>
      <w:r>
        <w:rPr>
          <w:rFonts w:ascii="Calibri" w:cs="Calibri" w:eastAsia="Calibri" w:hAnsi="Calibri"/>
          <w:sz w:val="19"/>
          <w:szCs w:val="19"/>
        </w:rPr>
        <w:t xml:space="preserve"> Rabatt, Umsatz je Stück, Absatzmenge und Profitabilität.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LF4:</w:t>
      </w:r>
      <w:r>
        <w:rPr>
          <w:rFonts w:ascii="Calibri" w:cs="Calibri" w:eastAsia="Calibri" w:hAnsi="Calibri"/>
          <w:sz w:val="19"/>
          <w:szCs w:val="19"/>
        </w:rPr>
        <w:t xml:space="preserve"> Regeln / Handlungsempfehlungen je Region.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SMART-Ziel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Bis 20.10.2026 die 4 Leitfragen mit KNIME (ETL, EDA) und Power BI (Dashboard) beantworten; je Leitfrage mind. eine Kennzahl je Region; 2–3 Empfehlungen, jede mit Zahl.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Stakeholder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Geschäftsführung (Rabatt- und Vertriebspolitik).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Regional Manager: West – Sadie Pawthorne, East – Chuck Magee, Central – Roxanne Rodriguez, South – Fred Suzuki.</w:t>
      </w:r>
    </w:p>
    <w:p>
      <w:pPr>
        <w:pStyle w:val="Heading1"/>
        <w:shd w:fill="C6E0B4" w:color="auto" w:val="clear"/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Datenverständnis &amp; EDA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Datenquelle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706"/>
      </w:tblGrid>
      <w:tr>
        <w:trPr>
          <w:tblHeader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Blatt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Umfang</w:t>
            </w:r>
          </w:p>
        </w:tc>
        <w:tc>
          <w:tcPr>
            <w:tcW w:type="dxa" w:w="5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Inhalt / Verwendung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10.194 Zeilen, 21 Spalten</w:t>
            </w:r>
          </w:p>
        </w:tc>
        <w:tc>
          <w:tcPr>
            <w:tcW w:type="dxa" w:w="5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Bestellpositionen 03.01.2023 – 30.12.2026; Faktentabelle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Returns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296 Zeilen</w:t>
            </w:r>
          </w:p>
        </w:tc>
        <w:tc>
          <w:tcPr>
            <w:tcW w:type="dxa" w:w="5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ID + Returned = „Yes“; Retouren je Bestellung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People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 Zeilen</w:t>
            </w:r>
          </w:p>
        </w:tc>
        <w:tc>
          <w:tcPr>
            <w:tcW w:type="dxa" w:w="5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Region + Regional Manager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Tabelle1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–</w:t>
            </w:r>
          </w:p>
        </w:tc>
        <w:tc>
          <w:tcPr>
            <w:tcW w:type="dxa" w:w="5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Kompatibilitätsbericht, nicht eingelesen</w:t>
            </w:r>
          </w:p>
        </w:tc>
      </w:tr>
    </w:tbl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Erste Befunde (KNIME Statistics, Rohdaten)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Keine fehlenden Werte in Orders, Returns, People.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Sales 0,444 bis 22.638,48; Profit −6.599,98 bis 8.399,98; Discount 0 bis 0,8 (12 Stufen); Quantity 1 bis 14.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Stark rechtsschief: Skewness Sales 12,98, Profit 7,61; Mittelwert vs. Median Sales 228,23 vs. 53,91 → typische Werte mit Median beschreiben.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USA 9.993 Positionen, Kanada nur 199.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IDs vs. Namen: 1.862 Product IDs / 1.849 Produktnamen; 804 Customer IDs / 800 Kundennamen → Gruppierung immer über IDs.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Customer ID → Name und Segment eindeutig, aber Ort/Region je Bestellung verschieden (766 Kunden in mehreren Regionen) → Adressspalten bleiben in der Faktentabelle.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Explorative Zweige im Workflow (Begründung der Entscheidungen)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EDA-Zweig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Erkenntnis → Entscheidung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Duplikate anzeigen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 Paare identisch bis auf Row ID (US-2023-150119; CA-2023-153623) → Duplikate entfernen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Rabattstufen (GroupBy Discount + Bar Chart)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Verlustanteil 0,2 → 13,8 %, 0,3 → 91,7 % → Klassengrenze 20 %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IQR (GroupBy Quantile + Flow Variables)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Grenzen Sales −271,20 / 497,92; Profit −39,545 / 70,604 → Ausreißer markieren, nicht löschen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Versanddauer je Ship Mode + Row Filter &gt; 7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Standard Class 3–7 Tage, ein Einzelwert 11 Tage (CA-2023-153623) → behalten, kennzeichnen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Linear Correlation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Discount–Quantity 0,008 → Rabatt erhöht die Menge nicht; Discount–Profit −0,219 (nur linear, Effekt ist eine Stufe)</w:t>
            </w:r>
          </w:p>
        </w:tc>
      </w:tr>
    </w:tbl>
    <w:p>
      <w:pPr>
        <w:pStyle w:val="Heading1"/>
        <w:shd w:fill="C6E0B4" w:color="auto" w:val="clear"/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Datenaufbereitung (KNIME-Workflow „Superstore_Analyse“)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5906"/>
      </w:tblGrid>
      <w:tr>
        <w:trPr>
          <w:tblHeader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Block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Knoten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Ergebnis / Begründung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Einlesen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× Excel Reader (Blatt „By name“) + Statistics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Orders, Returns, People getrennt; Rohstatistik als Ausgangsbasis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 Bereinigung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Row Filter Orders (alle Spalten außer Row ID)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10.194 → 10.192 Zeilen; Row ID ausgeschlossen, da technisch eindeutig; nur Order ID wäre falsch (mehrere Positionen je Bestellung)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Duplicate Row Filter Returns (Order ID) / People (Region)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296 → 296, 4 → 4: Schlüssel eindeutig, Joins verdoppeln nichts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 Joins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Joiner 1 Orders ⟕ Returns (Order ID, Left Outer, merge)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10.192 Zeilen; 800 Positionen in retournierten Bestellungen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Missing Value: Returned leer → „No“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Nach Left Outer Join bedeutet leer fachlich „nicht retourniert“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Joiner 2 ⟕ People (Region) + Statistics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 Spalten; Kontrolle 10.192 / Sales 2.326.153,86 / Profit 292.273,46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 Kennzahlen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Date&amp;Time Part Extractor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Bestelljahr, Bestellmonat, Wochentag_Nr, Wochentag, KW, KW_Jahr (Locale Deutsch)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Date&amp;Time Difference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Versanddauer_Tage = Ship Date − Order Date (Zahl, Tage)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 × Math Formula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Marge_Prozent = Profit / Sales × 100; Umsatz_je_Stueck = Sales / Quantity (je Zeile)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× Rule Engine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Retoure 1/0 (Summe 800); Verlust 1/0 (Summe 1.900); Rabattklasse 0 % / 1-20 % / 21-40 % / über 40 %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 Ausreißer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GroupBy Quantile → 4 × Math Formula → Table Row to Variable → 2 × Rule Engine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IQR-Regel mit Flow Variables statt fester Zahlen; Ausreisser_Sales 1.183, Ausreisser_Profit 1.913 (nur Flag)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 Sternschema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GroupBy Product ID / Customer ID; People-DRF; Column Filter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Dim_Produkt 1.862, Dim_Kunde 804, Dim_Region 4, Fakt_Verkauf 10.192 × 30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 Export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Excel Writer, 4 Eingänge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superstore_clean.xlsx mit 4 Blättern; Overwrite; eine konsistente Quelle für Power BI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 Analyse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GroupBy + Math Formula (LF1)</w:t>
            </w:r>
          </w:p>
        </w:tc>
        <w:tc>
          <w:tcPr>
            <w:tcW w:type="dxa" w:w="5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Jahr × Region (16), Monat × Region (48), Wochentag × Region (28) als Kontrollwerte für Power BI</w:t>
            </w:r>
          </w:p>
        </w:tc>
      </w:tr>
    </w:tbl>
    <w:p>
      <w:pPr>
        <w:spacing w:after="50" w:before="60"/>
        <w:jc w:val="left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Hinweis: Excel-Pfad im Workflow ist lokal und muss beim Öffnen angepasst werden.</w:t>
      </w:r>
    </w:p>
    <w:p>
      <w:pPr>
        <w:pStyle w:val="Heading1"/>
        <w:shd w:fill="C6E0B4" w:color="auto" w:val="clear"/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Methodik &amp; Kennzahlen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Arbeitsteilung KNIME / Power BI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KNIME:</w:t>
      </w:r>
      <w:r>
        <w:rPr>
          <w:rFonts w:ascii="Calibri" w:cs="Calibri" w:eastAsia="Calibri" w:hAnsi="Calibri"/>
          <w:sz w:val="19"/>
          <w:szCs w:val="19"/>
        </w:rPr>
        <w:t xml:space="preserve"> zeilenbezogene Berechnungen, Bereinigung, Nachweis der Entscheidungen (EDA).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Power BI:</w:t>
      </w:r>
      <w:r>
        <w:rPr>
          <w:rFonts w:ascii="Calibri" w:cs="Calibri" w:eastAsia="Calibri" w:hAnsi="Calibri"/>
          <w:sz w:val="19"/>
          <w:szCs w:val="19"/>
        </w:rPr>
        <w:t xml:space="preserve"> Aggregation als DAX-Measures im Filterkontext, Visualisierung.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Margen je Gruppe immer als Summe Gewinn / Summe Umsatz, nie als Mittelwert von Marge_Prozent.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Datenmodell (Power BI)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Import-Modus (kleine Excel-Datei, keine Echtzeitdaten).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Sternschema: Fakt_Verkauf + Dim_Produkt, Dim_Kunde, Dim_Region, Dim_Datum; alle many-to-one, Kreuzfilter einfach.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Dim_Datum per DAX: dynamisch aus MIN/MAX Order Date, volle Jahre, ISO-KW (WEEKNUM(…,21)), KW_Jahr nach ISO 8601; als Datumstabelle markiert.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Power Query: Order/Ship Date kamen als Excel-Seriennummer → Typ Datum; Postal Code als Text.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Kennzahlen (Measures in eigener Tabelle _Kennzahlen)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000"/>
        <w:gridCol w:w="2306"/>
      </w:tblGrid>
      <w:tr>
        <w:trPr>
          <w:tblHeader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Measure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Definition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Gesamtwert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Umsatz / Gewinn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SUM(Sales) / SUM(Profit)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2.326.154 $ / 292.273 $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Marge %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DIVIDE([Gewinn], [Umsatz])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12,6 %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Anzahl Bestellungen / Kunden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DISTINCTCOUNT(Order ID / Customer ID)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5.111 / 804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Ø Bestellwert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Umsatz / Anzahl Bestellungen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455,1 $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Rabattquote einfach / mengengewichtet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AVERAGE(Discount) / Σ(Discount × Quantity) / Σ Quantity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15,5 % / 15,6 %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Verlustpositionsquote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Zeilen mit Verlust = 1 / alle Zeilen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18,6 %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Retourenquote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Bestellungen mit Retoure / alle Bestellungen (bestellbasiert)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5,8 %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Gewinn bei Rabatt &gt; 20 %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CALCULATE([Gewinn], Discount &gt; 0.2)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−136.009 $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Ø Menge je Position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AVERAGE(Quantity)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3,79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Ø Umsatz je Stück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Umsatz / SUM(Quantity) (gewichtet)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60,19 $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Retournierter Umsatz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CALCULATE([Umsatz], Retoure = 1)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180.504 $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Anteil Positionen Rabatt &gt; 20 %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Zeilen mit Discount &gt; 0.2 / alle Zeilen</w:t>
            </w:r>
          </w:p>
        </w:tc>
        <w:tc>
          <w:tcPr>
            <w:tcW w:type="dxa" w:w="2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13,9 %</w:t>
            </w:r>
          </w:p>
        </w:tc>
      </w:tr>
    </w:tbl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Regeln und Grenzen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Rabattklassen:</w:t>
      </w:r>
      <w:r>
        <w:rPr>
          <w:rFonts w:ascii="Calibri" w:cs="Calibri" w:eastAsia="Calibri" w:hAnsi="Calibri"/>
          <w:sz w:val="19"/>
          <w:szCs w:val="19"/>
        </w:rPr>
        <w:t xml:space="preserve"> 20 % = Bruch in den Daten (EDA Rabattstufen); 40 % trennt die Schwere der Verluste (Marge −10 bis −20 % vs. −35 bis −180 %, teils Interpretation).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Ausreißer:</w:t>
      </w:r>
      <w:r>
        <w:rPr>
          <w:rFonts w:ascii="Calibri" w:cs="Calibri" w:eastAsia="Calibri" w:hAnsi="Calibri"/>
          <w:sz w:val="19"/>
          <w:szCs w:val="19"/>
        </w:rPr>
        <w:t xml:space="preserve"> IQR-Regel (Q1 − 1,5·IQR, Q3 + 1,5·IQR), Grenzen im Workflow berechnet; nur gekennzeichnet, da große Aufträge echte Geschäftsvorfälle sind.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Retouren:</w:t>
      </w:r>
      <w:r>
        <w:rPr>
          <w:rFonts w:ascii="Calibri" w:cs="Calibri" w:eastAsia="Calibri" w:hAnsi="Calibri"/>
          <w:sz w:val="19"/>
          <w:szCs w:val="19"/>
        </w:rPr>
        <w:t xml:space="preserve"> Returns enthält nur Order IDs → Retourenquote bestellbasiert (DISTINCTCOUNT), nicht zeilenbasiert.</w:t>
      </w:r>
    </w:p>
    <w:p>
      <w:pPr>
        <w:pStyle w:val="Heading1"/>
        <w:shd w:fill="C6E0B4" w:color="auto" w:val="clear"/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Ergebnisse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LF1 – Zeitverlauf je Region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Umsatz +51 % seit 2023, Delle 2024. West und East wachsen am stärksten (West 2026: 258.241 $, Marge 17,6 %).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Central schwankt stark: Marge 0,5 % (2023) → 11,4 % → 13,5 % → 5,1 % (2026); Verlustmonate Februar und Juli.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Saisonal: Sep–Dez = 51,5 % des Umsatzes; Spitze November (352.567 $), Tief Februar (59.751 $).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Wochentag: Freitag (957) und Dienstag (928) stärkste Bestelltage, Sonntag schwächster (274).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LF2 – Gewinn und Retouren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Furniture: ein Drittel des Umsatzes, aber nur 2,6 % Marge (Office Supplies 17,2 %, Technology 17,4 %).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Verlust-Unterkategorien: Tables −17.753 $, Bookcases −3.632 $, Supplies −1.171 $.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Retourenquote West 11,6 % vs. 2,9–3,3 % in den anderen Regionen; West = 107.483 $ retournierter Umsatz (60 % aller Retouren-Umsätze).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Segment und Versandart unterscheiden sich kaum (Marge 11,6–14,0 %, Retouren 5,3–7,1 %) → Treiber sind Kategorie und Region.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LF3 – Rabatt, Preis, Menge, Profitabilität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600"/>
        <w:gridCol w:w="1800"/>
        <w:gridCol w:w="1700"/>
        <w:gridCol w:w="1806"/>
      </w:tblGrid>
      <w:tr>
        <w:trPr>
          <w:tblHeader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Rabattklasse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Gewinn $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Marge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Verlustpos.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Ø Menge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Ø Umsatz/Stück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0 %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326.683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29,6 %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0 %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3,81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58,91 $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1-20 %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101.599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11,9 %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13,8 %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3,74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59,35 $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21-40 %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−35.979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−15,3 %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90,3 %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3,77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134,62 $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über 40 %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−100.030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−77,4 %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100 %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3,89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34,91 $</w:t>
            </w:r>
          </w:p>
        </w:tc>
      </w:tr>
    </w:tbl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Ab 21 % Rabatt fast nur Verlustpositionen – ohne Mehrabsatz (Menge in allen Klassen ≈ 3,8; Korrelation Discount–Quantity 0,008).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Umsatz je Stück schwankt durch Produktmix (21–40 %: teure Möbel; &gt; 40 %: günstige Büroartikel), nicht durch den Rabatt selbst.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Central verliert bei Rabatt &gt; 20 % zusammen −52.444 $; 27,7 % der Central-Positionen haben &gt; 20 % Rabatt (West 3,6 %, keine Positionen 21–40 %).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Power-BI-Bericht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Seite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Botschaft / Inhalt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Übersicht (LF1)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„Umsatz +51 % seit 2023 – aber die Marge ist ungleich verteilt“: 4 Cards, Umsatz je Jahr und Region, Matrix Marge Region × Jahr, Umsatz je Monat, Bestellungen je Wochentag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 Gewinn &amp; Retouren (LF2)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„Möbel verdienen kaum – West hat viermal so viele Retouren“: Gewinn je Unterkategorie (rot = Verlust), Marge je Kategorie, Retourenquote je Region, Tabellen Segment / Versandart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Rabatt &amp; Profitabilität (LF3)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„Ab 20 % Rabatt wird fast jede Position zum Verlust – ohne Mehrabsatz“: Gewinn je Rabattklasse, Kombidiagramm Verlustquote + Ø Menge, Matrix Region × Rabattklasse, Tabelle Preis/Menge/Marge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 Empfehlungen (LF4)</w:t>
            </w:r>
          </w:p>
        </w:tc>
        <w:tc>
          <w:tcPr>
            <w:tcW w:type="dxa" w:w="7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Regeln mit je einer Kennzahl (Cards mit Visualfilter) + Datenbasis je Region; ohne Slicer, damit die Zahlen fix bleiben</w:t>
            </w:r>
          </w:p>
        </w:tc>
      </w:tr>
    </w:tbl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Design: Titel als Aussagesatz (1 Seite = 1 Botschaft), eine Hauptfarbe, Rot nur für Verluste, Navigation über Seitenleiste, Slicer Jahr / Region / Kategorie, Reset-Button.</w:t>
      </w:r>
    </w:p>
    <w:p>
      <w:pPr>
        <w:pStyle w:val="Heading1"/>
        <w:shd w:fill="C6E0B4" w:color="auto" w:val="clear"/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Diskussion &amp; Limitationen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Währung in der Datei nicht dokumentiert → Annahme USD ($).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Keine Kostendaten außer Profit → keine Aussage über Deckungsbeiträge oder Versandkosten.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Retouren nur je Bestellung → Quote je Kategorie liegt über dem Gesamtwert (eine Bestellung zählt in mehreren Kategorien).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Zusammenhang ≠ Ursache: Rabatt korreliert mit Verlust, Ursache (z. B. Abverkauf) nicht in den Daten.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Kanada nur 199 Positionen → Ländervergleich nicht belastbar.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Viele IQR-Ausreißer (1.183 / 1.913) wegen stark schiefer Geldwerte → nur Kennzeichnung, keine Löschung.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Spaltennamen „First(…)“ aus KNIME-GroupBy in Power BI umbenannt; sauberer wäre ein Column Renamer in KNIME.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Verworfene bzw. geänderte Ansätze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6"/>
      </w:tblGrid>
      <w:tr>
        <w:trPr>
          <w:tblHeader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Ursprünglich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Geändert, weil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Hotel-Datensatz (Elbbrücken)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Superstore bietet Mehrtabellen-Modell (Orders, Returns, People) und eigenen Business Case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Inner Join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Hätte nur 800 Zeilen geliefert → Left Outer Join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IQR-Grenzen als feste Zahlen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Nicht nachvollziehbar → im Workflow berechnet, per Flow Variables übergeben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einzelne Excel Writer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Writer mit 4 Blättern = eine konsistente Datenquelle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LF2–LF4 zusätzlich als KNIME-Tabellen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Doppelte Arbeit → nur LF1 in KNIME, LF2–4 per DAX in Power BI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Liniendiagramm mit 48 Monaten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Achse unlesbar → Jahr im Liniendiagramm, eigenes Monatsdiagramm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Donut für Marge je Kategorie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Margen sind keine Anteile an einem Ganzen → Säulendiagramm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Sekundärachse automatisch (3,70–3,90)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Übertreibt kleine Unterschiede → Achse ab 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Titel „Umsatz wächst jedes Jahr“</w:t>
            </w:r>
          </w:p>
        </w:tc>
        <w:tc>
          <w:tcPr>
            <w:tcW w:type="dxa" w:w="6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Falsch (2024 &lt; 2023) → „+51 % seit 2023“</w:t>
            </w:r>
          </w:p>
        </w:tc>
      </w:tr>
    </w:tbl>
    <w:p>
      <w:pPr>
        <w:pStyle w:val="Heading1"/>
        <w:shd w:fill="C6E0B4" w:color="auto" w:val="clear"/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Handlungsempfehlungen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4006"/>
      </w:tblGrid>
      <w:tr>
        <w:trPr>
          <w:tblHeader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Empfehlung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Datenbasis</w:t>
            </w:r>
          </w:p>
        </w:tc>
        <w:tc>
          <w:tcPr>
            <w:tcW w:type="dxa" w:w="4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C6E0B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Erwarteter Effekt (Annahme) / Überprüfung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① Rabatt auf max. 20 % begrenzen; darüber nur mit Freigabe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Gewinn bei Rabatt &gt; 20 %: −136.009 $ aus 13,9 % der Positionen; keine höhere Menge</w:t>
            </w:r>
          </w:p>
        </w:tc>
        <w:tc>
          <w:tcPr>
            <w:tcW w:type="dxa" w:w="4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Annahme: Ein Teil dieser Verluste entfällt. Prüfen: Verlustpositionsquote und Marge je Quartal vor/nach Einführung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② Rabattpolitik in Central prüfen (Roxanne Rodriguez)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27,7 % der Positionen &gt; 20 % Rabatt; −52.444 $; Marge 7,9 % (niedrigste)</w:t>
            </w:r>
          </w:p>
        </w:tc>
        <w:tc>
          <w:tcPr>
            <w:tcW w:type="dxa" w:w="4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Annahme: Marge Central nähert sich dem Durchschnitt (12,6 %). Prüfen: Anteil Rabatt &gt; 20 % je Monat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③ Retourenursachen in West klären (Sadie Pawthorne)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Retourenquote 11,6 % vs. ~3 %; 107.483 $ retournierter Umsatz</w:t>
            </w:r>
          </w:p>
        </w:tc>
        <w:tc>
          <w:tcPr>
            <w:tcW w:type="dxa" w:w="40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Annahme: Quote sinkt Richtung 3–5 %. Prüfen: Retourengründe erfassen (Produkt, Versandart, Kunde)</w:t>
            </w:r>
          </w:p>
        </w:tc>
      </w:tr>
    </w:tbl>
    <w:p>
      <w:pPr>
        <w:spacing w:after="50" w:before="60"/>
        <w:jc w:val="left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Effekte sind bewusst als Annahmen formuliert; belegt ist nur, wo die Verluste und Retouren entstehen.</w:t>
      </w:r>
    </w:p>
    <w:p>
      <w:pPr>
        <w:pStyle w:val="Heading2"/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Ausblick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Rabattgrenze zunächst als Pilot in Region Central testen und Wirkung im Dashboard verfolgen.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Column Renamer in KNIME; Row Level Security je Regional Manager in Power BI.</w:t>
      </w:r>
    </w:p>
    <w:p>
      <w:pPr>
        <w:pStyle w:val="Heading1"/>
        <w:shd w:fill="C6E0B4" w:color="auto" w:val="clear"/>
        <w:spacing w:after="8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Datenquellen &amp; Dateien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Datei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sample_-_superstore.xlsx</w:t>
      </w:r>
      <w:r>
        <w:rPr>
          <w:rFonts w:ascii="Calibri" w:cs="Calibri" w:eastAsia="Calibri" w:hAnsi="Calibri"/>
          <w:sz w:val="19"/>
          <w:szCs w:val="19"/>
        </w:rPr>
        <w:t xml:space="preserve"> (Superstore-Beispieldaten, Tableau), Stand 15.10.2026; fiktive Daten, keine echten Personendaten (DSGVO unkritisch).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Aufgabenstellung Superstore v1.1 (Leitfragen).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Zwischenergebnis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superstore_clean.xlsx</w:t>
      </w:r>
      <w:r>
        <w:rPr>
          <w:rFonts w:ascii="Calibri" w:cs="Calibri" w:eastAsia="Calibri" w:hAnsi="Calibri"/>
          <w:sz w:val="19"/>
          <w:szCs w:val="19"/>
        </w:rPr>
        <w:t xml:space="preserve"> (KNIME-Export, Quelle für Power BI).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Abgabe: Projektcharta (.docx), Projektdokumentation (.docx), KNIME-Workflow (.knwf), Power-BI-Bericht (.pbix).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Bildnachweis Titelbild im Power-BI-Bericht: [Quelle ergänzen].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Projektdokumentation Superstore – Gruppe 3 – Seite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2026-10-19T09:04:14.889Z</dcterms:created>
  <dcterms:modified xsi:type="dcterms:W3CDTF">2026-10-19T09:04:14.890Z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