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CB700B" w:rsidRDefault="00CB700B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>居安思危</w:t>
      </w:r>
      <w:r>
        <w:rPr>
          <w:rFonts w:ascii="方正姚体" w:eastAsia="方正姚体" w:hAnsi="MingLiU" w:cs="宋体" w:hint="eastAsia"/>
          <w:kern w:val="0"/>
          <w:sz w:val="20"/>
          <w:szCs w:val="20"/>
        </w:rPr>
        <w:t xml:space="preserve"> </w:t>
      </w:r>
    </w:p>
    <w:tbl>
      <w:tblPr>
        <w:tblW w:w="0" w:type="auto"/>
        <w:tblCellSpacing w:w="15" w:type="dxa"/>
        <w:tblInd w:w="-6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3"/>
        <w:gridCol w:w="700"/>
        <w:gridCol w:w="910"/>
        <w:gridCol w:w="910"/>
        <w:gridCol w:w="910"/>
        <w:gridCol w:w="4936"/>
        <w:gridCol w:w="93"/>
      </w:tblGrid>
      <w:tr w:rsidR="00CB700B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670" w:type="dxa"/>
            <w:shd w:val="clear" w:color="auto" w:fill="FFCC00"/>
            <w:vAlign w:val="center"/>
          </w:tcPr>
          <w:p w:rsidR="00CB700B" w:rsidRDefault="00B901E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gridSpan w:val="3"/>
            <w:shd w:val="clear" w:color="auto" w:fill="FFCC00"/>
            <w:vAlign w:val="center"/>
          </w:tcPr>
          <w:p w:rsidR="00CB700B" w:rsidRDefault="00CB700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第43卦 </w:t>
            </w:r>
          </w:p>
        </w:tc>
        <w:tc>
          <w:tcPr>
            <w:tcW w:w="4906" w:type="dxa"/>
            <w:shd w:val="clear" w:color="auto" w:fill="FFCC00"/>
            <w:vAlign w:val="center"/>
          </w:tcPr>
          <w:p w:rsidR="00CB700B" w:rsidRDefault="00CB700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泽天夬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B700B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CB700B" w:rsidRDefault="00CB700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夬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guai4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：扬于王庭，孚号，有厉，告自邑，不利即戎，利有攸往。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B700B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670" w:type="dxa"/>
            <w:shd w:val="clear" w:color="auto" w:fill="FFDD66"/>
            <w:vAlign w:val="center"/>
          </w:tcPr>
          <w:p w:rsidR="00CB700B" w:rsidRDefault="00CB700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DD66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泽上于天，夬；君子以施禄及下，居德则忌。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B700B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CB700B" w:rsidRDefault="00CB700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夬，决也，刚决柔也。健而说，决而和，扬于王庭，柔乘五刚也。孚号有厉，其危乃光也。告自邑，不利即戎，所尚乃穷也。利有攸往，刚长乃终也。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B700B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CB700B" w:rsidRDefault="00CB700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爻辭：无号，终有凶。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B700B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700" w:type="dxa"/>
            <w:vMerge/>
            <w:shd w:val="clear" w:color="auto" w:fill="auto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象曰：无号之凶，终不可长也。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B700B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CB700B" w:rsidRDefault="00CB700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爻辭：苋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xian4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陆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（山羊）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夬夬，中行无咎。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B700B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700" w:type="dxa"/>
            <w:vMerge/>
            <w:shd w:val="clear" w:color="auto" w:fill="auto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象曰：中行无咎，中未光也。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B700B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CB700B" w:rsidRDefault="00CB700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爻辭：臀无肤，其行次且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（通趑趄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ziju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困难）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。牵羊悔亡，闻言不信。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B700B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700" w:type="dxa"/>
            <w:vMerge/>
            <w:shd w:val="clear" w:color="auto" w:fill="auto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象曰：其行次且，位不当也。闻言不信，聪不明也。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B700B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CB700B" w:rsidRDefault="00CB700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爻辭：壮于頄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qiu2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脸骨）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，有凶。君子夬夬，独行遇雨，若濡有愠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yun4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不快）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B700B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700" w:type="dxa"/>
            <w:vMerge/>
            <w:shd w:val="clear" w:color="auto" w:fill="auto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象曰：君子夬夬，终无咎也。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B700B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CB700B" w:rsidRDefault="00CB700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爻辭：惕号，莫夜有戎，勿恤。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B700B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700" w:type="dxa"/>
            <w:vMerge/>
            <w:shd w:val="clear" w:color="auto" w:fill="auto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象曰：有戎勿恤，得中道也。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B700B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CB700B" w:rsidRDefault="00CB700B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爻辭：壮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（伤）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于前趾，往不胜为吝。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B700B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700" w:type="dxa"/>
            <w:vMerge/>
            <w:shd w:val="clear" w:color="auto" w:fill="auto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CB700B" w:rsidRDefault="00CB700B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象曰：不胜而往，咎也。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DFKai-SB" w:eastAsia="DFKai-SB" w:hAnsi="MingLiU" w:cs="宋体" w:hint="eastAsia"/>
                <w:b/>
                <w:bCs/>
                <w:color w:val="4F6228"/>
                <w:kern w:val="0"/>
                <w:sz w:val="20"/>
                <w:szCs w:val="20"/>
              </w:rPr>
              <w:t>夬</w:t>
            </w:r>
            <w:r>
              <w:rPr>
                <w:rFonts w:ascii="DFKai-SB" w:hAnsi="MingLiU" w:cs="宋体" w:hint="eastAsia"/>
                <w:b/>
                <w:bCs/>
                <w:color w:val="4F6228"/>
                <w:kern w:val="0"/>
                <w:sz w:val="20"/>
                <w:szCs w:val="20"/>
              </w:rPr>
              <w:t>guai4</w:t>
            </w:r>
            <w:r>
              <w:rPr>
                <w:rFonts w:ascii="DFKai-SB" w:eastAsia="DFKai-SB" w:hAnsi="MingLiU" w:cs="宋体" w:hint="eastAsia"/>
                <w:b/>
                <w:bCs/>
                <w:color w:val="4F6228"/>
                <w:kern w:val="0"/>
                <w:sz w:val="20"/>
                <w:szCs w:val="20"/>
              </w:rPr>
              <w:t>：扬于王庭，孚号，有厉，告自邑，不利即戎，利有攸往。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1"/>
              </w:rPr>
              <w:t>解：在君王朝廷上显扬出来，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DFKai-SB" w:eastAsia="DFKai-SB" w:hAnsi="MingLiU" w:cs="宋体"/>
                <w:color w:val="4F622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因为上面是天的位置，只有一个阴爻他在最高的位置受到九五的信赖，他知道处境危险而呼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号，不适宜出兵作战，利于有所前往。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DFKai-SB" w:eastAsia="DFKai-SB" w:hAnsi="MingLiU" w:cs="宋体"/>
                <w:color w:val="4F6228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0"/>
                <w:szCs w:val="21"/>
              </w:rPr>
              <w:t>序卦传：益而不已必决，故受之以夬。夬者，决也。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解：一直增益下去最后一定会溃决。（由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 w:cs="宋体"/>
                <w:color w:val="4F6228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大壮卦变来）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DFKai-SB" w:eastAsia="DFKai-SB" w:hAnsi="MingLiU" w:cs="宋体"/>
                <w:color w:val="4F6228"/>
              </w:rPr>
            </w:pP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彖曰</w:t>
            </w:r>
            <w:r>
              <w:rPr>
                <w:rFonts w:ascii="DFKai-SB" w:hAnsi="MingLiU" w:cs="宋体" w:hint="eastAsia"/>
                <w:color w:val="4F6228"/>
                <w:kern w:val="0"/>
                <w:sz w:val="20"/>
                <w:szCs w:val="20"/>
              </w:rPr>
              <w:t>：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夬，决也，刚决柔也。健而说，决而和，扬于王庭，柔乘五刚也。孚号有厉，其危乃光也。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DFKai-SB" w:eastAsia="DFKai-SB" w:hAnsi="MingLiU" w:cs="宋体"/>
                <w:color w:val="4F6228"/>
              </w:rPr>
            </w:pP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告自邑，不利即戎，所尚乃穷也。利有攸往，刚长乃终也。</w:t>
            </w:r>
            <w:r>
              <w:rPr>
                <w:rFonts w:ascii="DFKai-SB" w:hAnsi="MingLiU" w:cs="宋体" w:hint="eastAsia"/>
                <w:color w:val="FF0000"/>
                <w:kern w:val="0"/>
                <w:sz w:val="20"/>
                <w:szCs w:val="20"/>
              </w:rPr>
              <w:t>解：夬卦是决断的意思，刚强者要决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DFKai-SB" w:eastAsia="DFKai-SB" w:hAnsi="MingLiU" w:cs="宋体"/>
                <w:color w:val="4F6228"/>
              </w:rPr>
            </w:pPr>
            <w:r>
              <w:rPr>
                <w:rFonts w:ascii="DFKai-SB" w:hAnsi="MingLiU" w:cs="宋体" w:hint="eastAsia"/>
                <w:color w:val="FF0000"/>
                <w:kern w:val="0"/>
                <w:sz w:val="20"/>
                <w:szCs w:val="20"/>
              </w:rPr>
              <w:t>断柔顺者。刚健而喜悦，决断而温和，在君王朝廷上显扬出来，是因为柔顺者凌驾在五个刚强者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DFKai-SB" w:hAnsi="MingLiU" w:cs="宋体"/>
                <w:color w:val="FF0000"/>
              </w:rPr>
            </w:pPr>
            <w:r>
              <w:rPr>
                <w:rFonts w:ascii="DFKai-SB" w:hAnsi="MingLiU" w:cs="宋体" w:hint="eastAsia"/>
                <w:color w:val="FF0000"/>
                <w:kern w:val="0"/>
                <w:sz w:val="20"/>
                <w:szCs w:val="20"/>
              </w:rPr>
              <w:t>之上。有诚信而呼号有危险，他的危险才会广传出去。从封邑前来告知，不利于出兵作战，是因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DFKai-SB" w:hAnsi="MingLiU" w:cs="宋体"/>
                <w:color w:val="FF0000"/>
              </w:rPr>
            </w:pPr>
            <w:r>
              <w:rPr>
                <w:rFonts w:ascii="DFKai-SB" w:hAnsi="MingLiU" w:cs="宋体" w:hint="eastAsia"/>
                <w:color w:val="FF0000"/>
                <w:kern w:val="0"/>
                <w:sz w:val="20"/>
                <w:szCs w:val="20"/>
              </w:rPr>
              <w:t>为往上走没有去路。适宜往前走是因为刚强者成长到最后就会终止。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color w:val="4F6228"/>
                <w:szCs w:val="24"/>
              </w:rPr>
            </w:pP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</w:t>
            </w:r>
            <w:r>
              <w:rPr>
                <w:rFonts w:ascii="DFKai-SB" w:hAnsi="MingLiU" w:cs="宋体" w:hint="eastAsia"/>
                <w:color w:val="4F6228"/>
                <w:kern w:val="0"/>
                <w:sz w:val="20"/>
                <w:szCs w:val="20"/>
              </w:rPr>
              <w:t>：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泽上于天，夬；君子以施禄及下，居德则忌。</w:t>
            </w:r>
            <w:r>
              <w:rPr>
                <w:rFonts w:ascii="DFKai-SB" w:hAnsi="MingLiU" w:cs="宋体" w:hint="eastAsia"/>
                <w:color w:val="FF0000"/>
                <w:kern w:val="0"/>
                <w:sz w:val="20"/>
                <w:szCs w:val="20"/>
              </w:rPr>
              <w:t>解：沼泽到了天上，君子要分配利禄给下属，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DFKai-SB" w:eastAsia="DFKai-SB" w:hAnsi="MingLiU" w:cs="宋体"/>
                <w:color w:val="4F6228"/>
              </w:rPr>
            </w:pPr>
            <w:r>
              <w:rPr>
                <w:rFonts w:ascii="DFKai-SB" w:hAnsi="MingLiU" w:cs="宋体" w:hint="eastAsia"/>
                <w:color w:val="FF0000"/>
                <w:kern w:val="0"/>
                <w:sz w:val="20"/>
                <w:szCs w:val="20"/>
              </w:rPr>
              <w:t>并以自居有德为忌讳。（君子对待小人，如果姑息宽容的话反受其害）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color w:val="4F6228"/>
                <w:szCs w:val="24"/>
              </w:rPr>
            </w:pP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 xml:space="preserve">    初九：壮于前趾，往不胜为吝。象曰：不胜而往，咎也。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解：前进的脚趾健壮，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 w:cs="宋体"/>
                <w:color w:val="336633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lastRenderedPageBreak/>
              <w:t>前往而不能胜任就是灾难。解：不能胜任而前往，这就是灾难。（初九以阳爻居刚位，动向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较强，但是往上面临四个阳爻，初九跟九四无应无功而返，不可能有什么成就。）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 xml:space="preserve">    九二：惕号，莫夜有戎，勿恤。象曰：有戎勿恤，得中道也。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解：戒惕而有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 w:cs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呼号，夜晚会出现兵寇，不必担心。解：有兵寇不必担心是因为居中而行。（九二是阳爻居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柔位，阳刚之气稍减，并且居中而行不致过分。）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 xml:space="preserve">    九三：壮于頄qiu2脸骨），有凶。君子夬夬，独行遇雨，若濡有愠yun4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 w:cs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不快），无咎。象曰：君子夬夬，终无咎也。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解：他的颧骨壮健，会出现灾祸。君子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 w:cs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必须决断，独自行走遇到下雨，下雨被打湿不开心，受牵连而若濡，两相权衡不可莽撞而行，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所以最终没有灾难。解：君子必须决断，最终没有灾难。（九三在下卦乾中居于最后一个位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置，却又在上面互坤中在最下的位置，和上六正应，只有九三必须决断。上卦是泽上六下落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而成雨。底下五个阳爻</w:t>
            </w:r>
            <w:smartTag w:uri="urn:schemas-microsoft-com:office:smarttags" w:element="PersonName">
              <w:smartTagPr>
                <w:attr w:name="ProductID" w:val="都代表"/>
              </w:smartTagPr>
              <w:r>
                <w:rPr>
                  <w:rFonts w:ascii="宋体" w:hAnsi="宋体" w:cs="宋体" w:hint="eastAsia"/>
                  <w:color w:val="FF0000"/>
                  <w:kern w:val="0"/>
                  <w:sz w:val="20"/>
                  <w:szCs w:val="21"/>
                </w:rPr>
                <w:t>都代表</w:t>
              </w:r>
            </w:smartTag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君子，只有九三和上六小人正应）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 w:cs="宋体"/>
                <w:color w:val="4F6228"/>
                <w:sz w:val="24"/>
                <w:szCs w:val="24"/>
              </w:rPr>
            </w:pP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 w:cs="宋体"/>
                <w:color w:val="4F6228"/>
                <w:sz w:val="24"/>
                <w:szCs w:val="24"/>
              </w:rPr>
            </w:pP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 w:cs="宋体"/>
                <w:color w:val="4F6228"/>
                <w:sz w:val="24"/>
                <w:szCs w:val="24"/>
              </w:rPr>
            </w:pP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 xml:space="preserve">    九四：臀无肤，其行次且（通趑趄ziju困难）。牵羊悔亡，闻言不信。象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 w:cs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曰：其行次且，位不当也。闻言不信，聪不明也。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解：九四变成臀部没有皮肤，行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 w:cs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走十分困难。牵羊而进懊恼就会消失，但听到这句话就不相信。解：行走十分困难是因为位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置不当。听到这句话就不相信是因为不聪明。（九四阳爻居柔位所以臀部没有皮肤坐立不安，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下不正应行走困难。到上卦兑了兑是羊，就似只要像羊一样被牵着走懊恼就会消失。九三跟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上六正应，九五和上六相比，九四被夹在中间所以是聪不明。）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 xml:space="preserve">    九五: 苋xian4陆（山羊）夬夬，中行无咎。象曰：中行无咎，中未光也。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 w:cs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解：山羊做出决断，居中行正没有灾难。</w:t>
            </w:r>
            <w:r w:rsidR="006D71D1"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解：居中行正没有灾难，因为中间不够广大。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（</w:t>
            </w:r>
            <w:r>
              <w:rPr>
                <w:rFonts w:ascii="Times New Roman" w:hAnsi="Times New Roman" w:cs="Arial" w:hint="eastAsia"/>
                <w:color w:val="FF0000"/>
                <w:kern w:val="0"/>
                <w:sz w:val="20"/>
                <w:szCs w:val="24"/>
              </w:rPr>
              <w:t>九五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6D71D1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Times New Roman" w:hAnsi="Times New Roman" w:cs="Arial" w:hint="eastAsia"/>
                <w:color w:val="FF0000"/>
                <w:kern w:val="0"/>
                <w:sz w:val="20"/>
                <w:szCs w:val="24"/>
              </w:rPr>
              <w:t>居中不得位属“兑”，“兑”象为黯昧，故称</w:t>
            </w:r>
            <w:r w:rsidR="00CB700B">
              <w:rPr>
                <w:rFonts w:ascii="Times New Roman" w:hAnsi="Times New Roman" w:cs="Arial" w:hint="eastAsia"/>
                <w:color w:val="FF0000"/>
                <w:kern w:val="0"/>
                <w:sz w:val="20"/>
                <w:szCs w:val="24"/>
              </w:rPr>
              <w:t>为“中未光）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 xml:space="preserve">    上六: 无号，终有凶。象曰：无号之凶，终不可长也。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解：上六不用呼号，最</w:t>
            </w:r>
          </w:p>
        </w:tc>
      </w:tr>
      <w:tr w:rsidR="00CB70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CB700B" w:rsidRDefault="00CB700B">
            <w:pPr>
              <w:rPr>
                <w:rFonts w:ascii="宋体" w:hAnsi="宋体" w:cs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终会有危险。解:你不用呼号了最终还是有凶祸，因为最终的结束不会长久。</w:t>
            </w:r>
          </w:p>
        </w:tc>
      </w:tr>
    </w:tbl>
    <w:p w:rsidR="00CB700B" w:rsidRDefault="00CB700B"/>
    <w:sectPr w:rsidR="00CB700B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E44" w:rsidRDefault="004E5E44" w:rsidP="00B901EB">
      <w:r>
        <w:separator/>
      </w:r>
    </w:p>
  </w:endnote>
  <w:endnote w:type="continuationSeparator" w:id="0">
    <w:p w:rsidR="004E5E44" w:rsidRDefault="004E5E44" w:rsidP="00B90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E44" w:rsidRDefault="004E5E44" w:rsidP="00B901EB">
      <w:r>
        <w:separator/>
      </w:r>
    </w:p>
  </w:footnote>
  <w:footnote w:type="continuationSeparator" w:id="0">
    <w:p w:rsidR="004E5E44" w:rsidRDefault="004E5E44" w:rsidP="00B90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E5E44"/>
    <w:rsid w:val="006D71D1"/>
    <w:rsid w:val="007433A6"/>
    <w:rsid w:val="00B901EB"/>
    <w:rsid w:val="00CB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页脚 Char"/>
    <w:basedOn w:val="a0"/>
    <w:link w:val="footer"/>
    <w:rPr>
      <w:sz w:val="18"/>
      <w:szCs w:val="18"/>
    </w:rPr>
  </w:style>
  <w:style w:type="character" w:customStyle="1" w:styleId="Char0">
    <w:name w:val="批注框文本 Char"/>
    <w:basedOn w:val="a0"/>
    <w:link w:val="BalloonText"/>
    <w:rPr>
      <w:sz w:val="18"/>
      <w:szCs w:val="18"/>
    </w:rPr>
  </w:style>
  <w:style w:type="character" w:customStyle="1" w:styleId="Char1">
    <w:name w:val="页眉 Char"/>
    <w:basedOn w:val="a0"/>
    <w:link w:val="header"/>
    <w:rPr>
      <w:sz w:val="18"/>
      <w:szCs w:val="18"/>
    </w:rPr>
  </w:style>
  <w:style w:type="paragraph" w:customStyle="1" w:styleId="BalloonText">
    <w:name w:val="Balloon Text"/>
    <w:basedOn w:val="a"/>
    <w:link w:val="Char0"/>
    <w:rPr>
      <w:sz w:val="18"/>
      <w:szCs w:val="18"/>
    </w:rPr>
  </w:style>
  <w:style w:type="paragraph" w:customStyle="1" w:styleId="footer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header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header"/>
    <w:basedOn w:val="a"/>
    <w:link w:val="Char10"/>
    <w:rsid w:val="00B90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3"/>
    <w:rsid w:val="00B901EB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1"/>
    <w:rsid w:val="00B90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4"/>
    <w:rsid w:val="00B901EB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页脚 Char"/>
    <w:basedOn w:val="a0"/>
    <w:link w:val="footer"/>
    <w:rPr>
      <w:sz w:val="18"/>
      <w:szCs w:val="18"/>
    </w:rPr>
  </w:style>
  <w:style w:type="character" w:customStyle="1" w:styleId="Char0">
    <w:name w:val="批注框文本 Char"/>
    <w:basedOn w:val="a0"/>
    <w:link w:val="BalloonText"/>
    <w:rPr>
      <w:sz w:val="18"/>
      <w:szCs w:val="18"/>
    </w:rPr>
  </w:style>
  <w:style w:type="character" w:customStyle="1" w:styleId="Char1">
    <w:name w:val="页眉 Char"/>
    <w:basedOn w:val="a0"/>
    <w:link w:val="header"/>
    <w:rPr>
      <w:sz w:val="18"/>
      <w:szCs w:val="18"/>
    </w:rPr>
  </w:style>
  <w:style w:type="paragraph" w:customStyle="1" w:styleId="BalloonText">
    <w:name w:val="Balloon Text"/>
    <w:basedOn w:val="a"/>
    <w:link w:val="Char0"/>
    <w:rPr>
      <w:sz w:val="18"/>
      <w:szCs w:val="18"/>
    </w:rPr>
  </w:style>
  <w:style w:type="paragraph" w:customStyle="1" w:styleId="footer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header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header"/>
    <w:basedOn w:val="a"/>
    <w:link w:val="Char10"/>
    <w:rsid w:val="00B90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3"/>
    <w:rsid w:val="00B901EB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1"/>
    <w:rsid w:val="00B90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4"/>
    <w:rsid w:val="00B901E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1545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居安思危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2011-01-04T15:48:00Z</dcterms:created>
  <dcterms:modified xsi:type="dcterms:W3CDTF">2011-01-04T15:48:00Z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