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  <w:r>
        <w:br/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Выполнил:</w:t>
      </w:r>
      <w:r>
        <w:t xml:space="preserve"> </w:t>
      </w:r>
      <w:r>
        <w:t xml:space="preserve">Мальков</w:t>
      </w:r>
      <w:r>
        <w:t xml:space="preserve"> </w:t>
      </w:r>
      <w:r>
        <w:t xml:space="preserve">Роман</w:t>
      </w:r>
      <w:r>
        <w:t xml:space="preserve"> </w:t>
      </w:r>
      <w:r>
        <w:t xml:space="preserve">Сергеевич,</w:t>
      </w:r>
      <w:r>
        <w:br/>
      </w:r>
      <w:r>
        <w:t xml:space="preserve">НФИбд-02-21,</w:t>
      </w:r>
      <w:r>
        <w:t xml:space="preserve"> </w:t>
      </w:r>
      <w:r>
        <w:t xml:space="preserve">1032217048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разных текстов одним ключом.</w:t>
      </w:r>
    </w:p>
    <w:bookmarkEnd w:id="20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Чтобы зашифровать два сообщения одним ключем они должны быть одной и той же длинны. После получения зашифрованных сообщений,</w:t>
      </w:r>
      <w:r>
        <w:t xml:space="preserve"> </w:t>
      </w:r>
      <w:r>
        <w:t xml:space="preserve">положим что у атакующего есть некий шаблон сообщения который совпадает с нашим незашифрованным сообщением.</w:t>
      </w:r>
      <w:r>
        <w:t xml:space="preserve"> </w:t>
      </w:r>
      <w:r>
        <w:t xml:space="preserve">Тогда посредством применения операции однократного гаммирования между двумя зашифрованными сообщениями и одним известным шаблоном,</w:t>
      </w:r>
      <w:r>
        <w:t xml:space="preserve"> </w:t>
      </w:r>
      <w:r>
        <w:t xml:space="preserve">мы можем получить текст второго сообщения.</w:t>
      </w:r>
    </w:p>
    <w:p>
      <w:pPr>
        <w:pStyle w:val="BodyText"/>
      </w:pPr>
      <w:r>
        <w:t xml:space="preserve">Для решения задачи написан программный код:</w:t>
      </w:r>
    </w:p>
    <w:p>
      <w:pPr>
        <w:pStyle w:val="CaptionedFigure"/>
      </w:pPr>
      <w:r>
        <w:drawing>
          <wp:inline>
            <wp:extent cx="3733800" cy="2999500"/>
            <wp:effectExtent b="0" l="0" r="0" t="0"/>
            <wp:docPr descr="(рис. 1. Программный код приложения, реализующего режим однократного гаммирования)" title="" id="22" name="Picture"/>
            <a:graphic>
              <a:graphicData uri="http://schemas.openxmlformats.org/drawingml/2006/picture">
                <pic:pic>
                  <pic:nvPicPr>
                    <pic:cNvPr descr="image/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1. Программный код приложения, реализующего режим однократного гаммирования)</w:t>
      </w:r>
    </w:p>
    <w:p>
      <w:pPr>
        <w:pStyle w:val="CaptionedFigure"/>
      </w:pPr>
      <w:r>
        <w:drawing>
          <wp:inline>
            <wp:extent cx="3733800" cy="2818820"/>
            <wp:effectExtent b="0" l="0" r="0" t="0"/>
            <wp:docPr descr="(рис. 2. Программный код приложения, реализующего режим однократного гаммирования)" title="" id="25" name="Picture"/>
            <a:graphic>
              <a:graphicData uri="http://schemas.openxmlformats.org/drawingml/2006/picture">
                <pic:pic>
                  <pic:nvPicPr>
                    <pic:cNvPr descr="image/Screenshot_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8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2. Программный код приложения, реализующего режим однократного гаммирования)</w:t>
      </w:r>
    </w:p>
    <w:p>
      <w:pPr>
        <w:pStyle w:val="CaptionedFigure"/>
      </w:pPr>
      <w:r>
        <w:drawing>
          <wp:inline>
            <wp:extent cx="3733800" cy="2231596"/>
            <wp:effectExtent b="0" l="0" r="0" t="0"/>
            <wp:docPr descr="(рис. 3. Результат)" title="" id="28" name="Picture"/>
            <a:graphic>
              <a:graphicData uri="http://schemas.openxmlformats.org/drawingml/2006/picture">
                <pic:pic>
                  <pic:nvPicPr>
                    <pic:cNvPr descr="image/Screenshot_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1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3. Результат)</w:t>
      </w:r>
    </w:p>
    <w:p>
      <w:pPr>
        <w:pStyle w:val="CaptionedFigure"/>
      </w:pPr>
      <w:r>
        <w:drawing>
          <wp:inline>
            <wp:extent cx="3733800" cy="2226338"/>
            <wp:effectExtent b="0" l="0" r="0" t="0"/>
            <wp:docPr descr="(рис. 4. Результат)" title="" id="31" name="Picture"/>
            <a:graphic>
              <a:graphicData uri="http://schemas.openxmlformats.org/drawingml/2006/picture">
                <pic:pic>
                  <pic:nvPicPr>
                    <pic:cNvPr descr="image/Screenshot_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6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4. Результат)</w:t>
      </w:r>
    </w:p>
    <w:bookmarkEnd w:id="33"/>
    <w:bookmarkStart w:id="34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было освоено на практике применение режима однократного гаммирования к двум сообщениям.</w:t>
      </w:r>
    </w:p>
    <w:bookmarkEnd w:id="34"/>
    <w:bookmarkStart w:id="35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[0] Методические материалы курса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 Информационная безопасность</dc:title>
  <dc:creator>Выполнил: Мальков Роман Сергеевич, НФИбд-02-21, 1032217048</dc:creator>
  <dc:language>ru-RU</dc:language>
  <cp:keywords/>
  <dcterms:created xsi:type="dcterms:W3CDTF">2024-10-20T10:39:16Z</dcterms:created>
  <dcterms:modified xsi:type="dcterms:W3CDTF">2024-10-20T10:39:16Z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Times New Roman</vt:lpwstr>
  </property>
  <property fmtid="{D5CDD505-2E9C-101B-9397-08002B2CF9AE}" pid="20" name="mainfontoptions">
    <vt:lpwstr>Ligatures=TeX</vt:lpwstr>
  </property>
  <property fmtid="{D5CDD505-2E9C-101B-9397-08002B2CF9AE}" pid="21" name="monofont">
    <vt:lpwstr>Times New Roman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Times New Roman</vt:lpwstr>
  </property>
  <property fmtid="{D5CDD505-2E9C-101B-9397-08002B2CF9AE}" pid="27" name="romanfontoptions">
    <vt:lpwstr>Ligatures=TeX</vt:lpwstr>
  </property>
  <property fmtid="{D5CDD505-2E9C-101B-9397-08002B2CF9AE}" pid="28" name="sansfont">
    <vt:lpwstr>Times New Roman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