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81BC" w14:textId="77777777">
      <w:pPr>
        <w:spacing w:after="1600"/>
      </w:pPr>
    </w:p>
    <w:p w14:paraId="49DEF6C4" w14:textId="77777777">
      <w:pPr>
        <w:spacing w:after="280"/>
        <w:jc w:val="center"/>
      </w:pPr>
      <w:r>
        <w:rPr>
          <w:b/>
          <w:color w:val="666666"/>
          <w:sz w:val="22"/>
        </w:rPr>
        <w:t>RAPPORT FINAL</w:t>
      </w:r>
    </w:p>
    <w:p w14:paraId="09ADA595" w14:textId="77777777">
      <w:pPr>
        <w:spacing w:after="200"/>
        <w:jc w:val="center"/>
      </w:pPr>
      <w:r>
        <w:rPr>
          <w:b/>
          <w:sz w:val="46"/>
        </w:rPr>
        <w:t>Inférence causale sur les</w:t>
      </w:r>
      <w:r>
        <w:rPr>
          <w:b/>
          <w:sz w:val="46"/>
        </w:rPr>
        <w:br/>
        <w:t>transactions en ligne</w:t>
      </w:r>
    </w:p>
    <w:p w14:paraId="65B5F994" w14:textId="77777777">
      <w:pPr>
        <w:spacing w:after="440"/>
        <w:jc w:val="center"/>
      </w:pPr>
      <w:r>
        <w:rPr>
          <w:i/>
          <w:sz w:val="26"/>
        </w:rPr>
        <w:t>Effet exploratoire d'une session durant le weekend</w:t>
      </w:r>
      <w:r>
        <w:rPr>
          <w:i/>
          <w:sz w:val="26"/>
        </w:rPr>
        <w:br/>
        <w:t>sur la probabilité de transaction</w:t>
      </w:r>
    </w:p>
    <w:p w14:paraId="1134824D" w14:textId="77777777">
      <w:pPr>
        <w:spacing w:after="1440"/>
        <w:jc w:val="center"/>
      </w:pPr>
      <w:r>
        <w:rPr>
          <w:color w:val="666666"/>
          <w:sz w:val="21"/>
        </w:rPr>
        <w:t>Jeu de données : Online Shoppers Purchasing Intention (UCI)</w:t>
      </w:r>
    </w:p>
    <w:p w14:paraId="26778E27" w14:textId="77777777">
      <w:pPr>
        <w:spacing w:after="60"/>
        <w:jc w:val="center"/>
      </w:pPr>
      <w:r>
        <w:rPr>
          <w:b/>
          <w:sz w:val="21"/>
        </w:rPr>
        <w:t>Mohamed Tazi</w:t>
      </w:r>
    </w:p>
    <w:p w14:paraId="53954143" w14:textId="77777777">
      <w:pPr>
        <w:spacing w:after="60"/>
        <w:jc w:val="center"/>
      </w:pPr>
      <w:r>
        <w:rPr>
          <w:sz w:val="21"/>
        </w:rPr>
        <w:t>Cours : Inférence causale</w:t>
      </w:r>
    </w:p>
    <w:p w14:paraId="1FF5920A" w14:textId="77777777">
      <w:pPr>
        <w:spacing w:after="60"/>
        <w:jc w:val="center"/>
      </w:pPr>
      <w:r>
        <w:rPr>
          <w:sz w:val="21"/>
        </w:rPr>
        <w:t>Unité d'analyse : une session de navigation</w:t>
      </w:r>
    </w:p>
    <w:p w14:paraId="2AF05649" w14:textId="77777777">
      <w:pPr>
        <w:spacing w:after="60"/>
        <w:jc w:val="center"/>
      </w:pPr>
      <w:r>
        <w:rPr>
          <w:sz w:val="21"/>
        </w:rPr>
        <w:t>Juillet 2026</w:t>
      </w:r>
    </w:p>
    <w:p w14:paraId="612B0163" w14:textId="77777777">
      <w:r>
        <w:br w:type="page"/>
      </w:r>
    </w:p>
    <w:p w14:paraId="49E12F1F" w14:textId="77777777">
      <w:pPr>
        <w:pStyle w:val="FrontMatterHeading"/>
      </w:pPr>
      <w:r>
        <w:lastRenderedPageBreak/>
        <w:t>Résumé</w:t>
      </w:r>
    </w:p>
    <w:p w14:paraId="5ED99146" w14:textId="77777777">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5BA7228A" w14:textId="77777777">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35E4E87E" w14:textId="77777777">
      <w:r>
        <w:rPr>
          <w:b/>
        </w:rPr>
        <w:t xml:space="preserve">Mots-clés. </w:t>
      </w:r>
      <w:r>
        <w:t>inférence causale; résultats potentiels; DAG; FCI; score de propension; AIPW.</w:t>
      </w:r>
    </w:p>
    <w:p w14:paraId="29B7F3E1" w14:textId="77777777">
      <w:pPr>
        <w:pStyle w:val="ListParagraph"/>
        <w:keepLines/>
        <w:numPr>
          <w:ilvl w:val="0"/>
          <w:numId w:val="10"/>
        </w:numPr>
        <w:jc w:val="left"/>
      </w:pPr>
      <w:r>
        <w:t>Population principale : 11 079 sessions avec SpecialDay=0.</w:t>
      </w:r>
    </w:p>
    <w:p w14:paraId="1113CADE" w14:textId="77777777">
      <w:pPr>
        <w:pStyle w:val="ListParagraph"/>
        <w:keepLines/>
        <w:numPr>
          <w:ilvl w:val="0"/>
          <w:numId w:val="10"/>
        </w:numPr>
        <w:jc w:val="left"/>
      </w:pPr>
      <w:r>
        <w:t>Estimation AIPW sous hypothèses : +1,506 point; IC 95 % [-0,176 ; 3,188].</w:t>
      </w:r>
    </w:p>
    <w:p w14:paraId="3F5A6F1B" w14:textId="77777777">
      <w:pPr>
        <w:pStyle w:val="ListParagraph"/>
        <w:keepLines/>
        <w:numPr>
          <w:ilvl w:val="0"/>
          <w:numId w:val="10"/>
        </w:numPr>
        <w:jc w:val="left"/>
      </w:pPr>
      <w:r>
        <w:t>SMD absolu maximal : 0,268 avant IPW et 0,040 après IPW.</w:t>
      </w:r>
    </w:p>
    <w:p w14:paraId="0B652B17" w14:textId="77777777">
      <w:pPr>
        <w:pStyle w:val="ListParagraph"/>
        <w:keepLines/>
        <w:numPr>
          <w:ilvl w:val="0"/>
          <w:numId w:val="10"/>
        </w:numPr>
        <w:jc w:val="left"/>
      </w:pPr>
      <w:r>
        <w:t>Portée : effet par session existante, et non effet sur le trafic total ou le chiffre d'affaires.</w:t>
      </w:r>
    </w:p>
    <w:p w14:paraId="4332C162" w14:textId="77777777">
      <w:r>
        <w:br w:type="page"/>
      </w:r>
    </w:p>
    <w:p w14:paraId="0D31B701" w14:textId="77777777">
      <w:pPr>
        <w:pStyle w:val="TOCHeading"/>
      </w:pPr>
      <w:r>
        <w:lastRenderedPageBreak/>
        <w:t>Table des matières</w:t>
      </w:r>
    </w:p>
    <w:p w14:paraId="1B279679" w14:textId="2D68C2FB">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4096" w:history="1">
        <w:r>
          <w:rPr>
            <w:rStyle w:val="Hyperlink"/>
            <w:noProof/>
          </w:rPr>
          <w:t>1. Introduction et question causale</w:t>
        </w:r>
        <w:r>
          <w:rPr>
            <w:noProof/>
            <w:webHidden/>
          </w:rPr>
          <w:tab/>
        </w:r>
        <w:r>
          <w:rPr>
            <w:noProof/>
            <w:webHidden/>
          </w:rPr>
          <w:fldChar w:fldCharType="begin"/>
        </w:r>
        <w:r>
          <w:rPr>
            <w:noProof/>
            <w:webHidden/>
          </w:rPr>
          <w:instrText xml:space="preserve"> PAGEREF _Toc235024096 \h </w:instrText>
        </w:r>
        <w:r>
          <w:rPr>
            <w:noProof/>
            <w:webHidden/>
          </w:rPr>
        </w:r>
        <w:r>
          <w:rPr>
            <w:noProof/>
            <w:webHidden/>
          </w:rPr>
          <w:fldChar w:fldCharType="separate"/>
        </w:r>
        <w:r>
          <w:rPr>
            <w:noProof/>
            <w:webHidden/>
          </w:rPr>
          <w:t>1</w:t>
        </w:r>
        <w:r>
          <w:rPr>
            <w:noProof/>
            <w:webHidden/>
          </w:rPr>
          <w:fldChar w:fldCharType="end"/>
        </w:r>
      </w:hyperlink>
    </w:p>
    <w:p w14:paraId="58C44DD0" w14:textId="32C1704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7" w:history="1">
        <w:r>
          <w:rPr>
            <w:rStyle w:val="Hyperlink"/>
            <w:noProof/>
          </w:rPr>
          <w:t>2. Données, variables et population cible</w:t>
        </w:r>
        <w:r>
          <w:rPr>
            <w:noProof/>
            <w:webHidden/>
          </w:rPr>
          <w:tab/>
        </w:r>
        <w:r>
          <w:rPr>
            <w:noProof/>
            <w:webHidden/>
          </w:rPr>
          <w:fldChar w:fldCharType="begin"/>
        </w:r>
        <w:r>
          <w:rPr>
            <w:noProof/>
            <w:webHidden/>
          </w:rPr>
          <w:instrText xml:space="preserve"> PAGEREF _Toc235024097 \h </w:instrText>
        </w:r>
        <w:r>
          <w:rPr>
            <w:noProof/>
            <w:webHidden/>
          </w:rPr>
        </w:r>
        <w:r>
          <w:rPr>
            <w:noProof/>
            <w:webHidden/>
          </w:rPr>
          <w:fldChar w:fldCharType="separate"/>
        </w:r>
        <w:r>
          <w:rPr>
            <w:noProof/>
            <w:webHidden/>
          </w:rPr>
          <w:t>1</w:t>
        </w:r>
        <w:r>
          <w:rPr>
            <w:noProof/>
            <w:webHidden/>
          </w:rPr>
          <w:fldChar w:fldCharType="end"/>
        </w:r>
      </w:hyperlink>
    </w:p>
    <w:p w14:paraId="7DEA04B1" w14:textId="51835C96">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8" w:history="1">
        <w:r>
          <w:rPr>
            <w:rStyle w:val="Hyperlink"/>
            <w:noProof/>
          </w:rPr>
          <w:t>3. Connaissances préalables et DAG de domaine</w:t>
        </w:r>
        <w:r>
          <w:rPr>
            <w:noProof/>
            <w:webHidden/>
          </w:rPr>
          <w:tab/>
        </w:r>
        <w:r>
          <w:rPr>
            <w:noProof/>
            <w:webHidden/>
          </w:rPr>
          <w:fldChar w:fldCharType="begin"/>
        </w:r>
        <w:r>
          <w:rPr>
            <w:noProof/>
            <w:webHidden/>
          </w:rPr>
          <w:instrText xml:space="preserve"> PAGEREF _Toc235024098 \h </w:instrText>
        </w:r>
        <w:r>
          <w:rPr>
            <w:noProof/>
            <w:webHidden/>
          </w:rPr>
        </w:r>
        <w:r>
          <w:rPr>
            <w:noProof/>
            <w:webHidden/>
          </w:rPr>
          <w:fldChar w:fldCharType="separate"/>
        </w:r>
        <w:r>
          <w:rPr>
            <w:noProof/>
            <w:webHidden/>
          </w:rPr>
          <w:t>4</w:t>
        </w:r>
        <w:r>
          <w:rPr>
            <w:noProof/>
            <w:webHidden/>
          </w:rPr>
          <w:fldChar w:fldCharType="end"/>
        </w:r>
      </w:hyperlink>
    </w:p>
    <w:p w14:paraId="15C2FC3B" w14:textId="5733AEFF">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099" w:history="1">
        <w:r>
          <w:rPr>
            <w:rStyle w:val="Hyperlink"/>
            <w:noProof/>
          </w:rPr>
          <w:t>4. Découverte causale exploratoire</w:t>
        </w:r>
        <w:r>
          <w:rPr>
            <w:noProof/>
            <w:webHidden/>
          </w:rPr>
          <w:tab/>
        </w:r>
        <w:r>
          <w:rPr>
            <w:noProof/>
            <w:webHidden/>
          </w:rPr>
          <w:fldChar w:fldCharType="begin"/>
        </w:r>
        <w:r>
          <w:rPr>
            <w:noProof/>
            <w:webHidden/>
          </w:rPr>
          <w:instrText xml:space="preserve"> PAGEREF _Toc235024099 \h </w:instrText>
        </w:r>
        <w:r>
          <w:rPr>
            <w:noProof/>
            <w:webHidden/>
          </w:rPr>
        </w:r>
        <w:r>
          <w:rPr>
            <w:noProof/>
            <w:webHidden/>
          </w:rPr>
          <w:fldChar w:fldCharType="separate"/>
        </w:r>
        <w:r>
          <w:rPr>
            <w:noProof/>
            <w:webHidden/>
          </w:rPr>
          <w:t>5</w:t>
        </w:r>
        <w:r>
          <w:rPr>
            <w:noProof/>
            <w:webHidden/>
          </w:rPr>
          <w:fldChar w:fldCharType="end"/>
        </w:r>
      </w:hyperlink>
    </w:p>
    <w:p w14:paraId="745315B5" w14:textId="00CDD6BD">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0" w:history="1">
        <w:r>
          <w:rPr>
            <w:rStyle w:val="Hyperlink"/>
            <w:noProof/>
          </w:rPr>
          <w:t>5. Cadre causal et stratégie d'identification</w:t>
        </w:r>
        <w:r>
          <w:rPr>
            <w:noProof/>
            <w:webHidden/>
          </w:rPr>
          <w:tab/>
        </w:r>
        <w:r>
          <w:rPr>
            <w:noProof/>
            <w:webHidden/>
          </w:rPr>
          <w:fldChar w:fldCharType="begin"/>
        </w:r>
        <w:r>
          <w:rPr>
            <w:noProof/>
            <w:webHidden/>
          </w:rPr>
          <w:instrText xml:space="preserve"> PAGEREF _Toc235024100 \h </w:instrText>
        </w:r>
        <w:r>
          <w:rPr>
            <w:noProof/>
            <w:webHidden/>
          </w:rPr>
        </w:r>
        <w:r>
          <w:rPr>
            <w:noProof/>
            <w:webHidden/>
          </w:rPr>
          <w:fldChar w:fldCharType="separate"/>
        </w:r>
        <w:r>
          <w:rPr>
            <w:noProof/>
            <w:webHidden/>
          </w:rPr>
          <w:t>7</w:t>
        </w:r>
        <w:r>
          <w:rPr>
            <w:noProof/>
            <w:webHidden/>
          </w:rPr>
          <w:fldChar w:fldCharType="end"/>
        </w:r>
      </w:hyperlink>
    </w:p>
    <w:p w14:paraId="3274BC63" w14:textId="53D134D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1" w:history="1">
        <w:r>
          <w:rPr>
            <w:rStyle w:val="Hyperlink"/>
            <w:noProof/>
          </w:rPr>
          <w:t>6. Estimation et diagnostics</w:t>
        </w:r>
        <w:r>
          <w:rPr>
            <w:noProof/>
            <w:webHidden/>
          </w:rPr>
          <w:tab/>
        </w:r>
        <w:r>
          <w:rPr>
            <w:noProof/>
            <w:webHidden/>
          </w:rPr>
          <w:fldChar w:fldCharType="begin"/>
        </w:r>
        <w:r>
          <w:rPr>
            <w:noProof/>
            <w:webHidden/>
          </w:rPr>
          <w:instrText xml:space="preserve"> PAGEREF _Toc235024101 \h </w:instrText>
        </w:r>
        <w:r>
          <w:rPr>
            <w:noProof/>
            <w:webHidden/>
          </w:rPr>
        </w:r>
        <w:r>
          <w:rPr>
            <w:noProof/>
            <w:webHidden/>
          </w:rPr>
          <w:fldChar w:fldCharType="separate"/>
        </w:r>
        <w:r>
          <w:rPr>
            <w:noProof/>
            <w:webHidden/>
          </w:rPr>
          <w:t>8</w:t>
        </w:r>
        <w:r>
          <w:rPr>
            <w:noProof/>
            <w:webHidden/>
          </w:rPr>
          <w:fldChar w:fldCharType="end"/>
        </w:r>
      </w:hyperlink>
    </w:p>
    <w:p w14:paraId="436BF0B7" w14:textId="6444ACB3">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2" w:history="1">
        <w:r>
          <w:rPr>
            <w:rStyle w:val="Hyperlink"/>
            <w:noProof/>
          </w:rPr>
          <w:t>7. Résultats et analyses de robustesse</w:t>
        </w:r>
        <w:r>
          <w:rPr>
            <w:noProof/>
            <w:webHidden/>
          </w:rPr>
          <w:tab/>
        </w:r>
        <w:r>
          <w:rPr>
            <w:noProof/>
            <w:webHidden/>
          </w:rPr>
          <w:fldChar w:fldCharType="begin"/>
        </w:r>
        <w:r>
          <w:rPr>
            <w:noProof/>
            <w:webHidden/>
          </w:rPr>
          <w:instrText xml:space="preserve"> PAGEREF _Toc235024102 \h </w:instrText>
        </w:r>
        <w:r>
          <w:rPr>
            <w:noProof/>
            <w:webHidden/>
          </w:rPr>
        </w:r>
        <w:r>
          <w:rPr>
            <w:noProof/>
            <w:webHidden/>
          </w:rPr>
          <w:fldChar w:fldCharType="separate"/>
        </w:r>
        <w:r>
          <w:rPr>
            <w:noProof/>
            <w:webHidden/>
          </w:rPr>
          <w:t>12</w:t>
        </w:r>
        <w:r>
          <w:rPr>
            <w:noProof/>
            <w:webHidden/>
          </w:rPr>
          <w:fldChar w:fldCharType="end"/>
        </w:r>
      </w:hyperlink>
    </w:p>
    <w:p w14:paraId="1EFE72A6" w14:textId="1D73D969">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3" w:history="1">
        <w:r>
          <w:rPr>
            <w:rStyle w:val="Hyperlink"/>
            <w:noProof/>
          </w:rPr>
          <w:t>8. Discussion et limites</w:t>
        </w:r>
        <w:r>
          <w:rPr>
            <w:noProof/>
            <w:webHidden/>
          </w:rPr>
          <w:tab/>
        </w:r>
        <w:r>
          <w:rPr>
            <w:noProof/>
            <w:webHidden/>
          </w:rPr>
          <w:fldChar w:fldCharType="begin"/>
        </w:r>
        <w:r>
          <w:rPr>
            <w:noProof/>
            <w:webHidden/>
          </w:rPr>
          <w:instrText xml:space="preserve"> PAGEREF _Toc235024103 \h </w:instrText>
        </w:r>
        <w:r>
          <w:rPr>
            <w:noProof/>
            <w:webHidden/>
          </w:rPr>
        </w:r>
        <w:r>
          <w:rPr>
            <w:noProof/>
            <w:webHidden/>
          </w:rPr>
          <w:fldChar w:fldCharType="separate"/>
        </w:r>
        <w:r>
          <w:rPr>
            <w:noProof/>
            <w:webHidden/>
          </w:rPr>
          <w:t>14</w:t>
        </w:r>
        <w:r>
          <w:rPr>
            <w:noProof/>
            <w:webHidden/>
          </w:rPr>
          <w:fldChar w:fldCharType="end"/>
        </w:r>
      </w:hyperlink>
    </w:p>
    <w:p w14:paraId="22811FCD" w14:textId="3A935FA4">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4" w:history="1">
        <w:r>
          <w:rPr>
            <w:rStyle w:val="Hyperlink"/>
            <w:noProof/>
          </w:rPr>
          <w:t>9. Reproductibilité</w:t>
        </w:r>
        <w:r>
          <w:rPr>
            <w:noProof/>
            <w:webHidden/>
          </w:rPr>
          <w:tab/>
        </w:r>
        <w:r>
          <w:rPr>
            <w:noProof/>
            <w:webHidden/>
          </w:rPr>
          <w:fldChar w:fldCharType="begin"/>
        </w:r>
        <w:r>
          <w:rPr>
            <w:noProof/>
            <w:webHidden/>
          </w:rPr>
          <w:instrText xml:space="preserve"> PAGEREF _Toc235024104 \h </w:instrText>
        </w:r>
        <w:r>
          <w:rPr>
            <w:noProof/>
            <w:webHidden/>
          </w:rPr>
        </w:r>
        <w:r>
          <w:rPr>
            <w:noProof/>
            <w:webHidden/>
          </w:rPr>
          <w:fldChar w:fldCharType="separate"/>
        </w:r>
        <w:r>
          <w:rPr>
            <w:noProof/>
            <w:webHidden/>
          </w:rPr>
          <w:t>15</w:t>
        </w:r>
        <w:r>
          <w:rPr>
            <w:noProof/>
            <w:webHidden/>
          </w:rPr>
          <w:fldChar w:fldCharType="end"/>
        </w:r>
      </w:hyperlink>
    </w:p>
    <w:p w14:paraId="4EADB89D" w14:textId="3290CF5C">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5" w:history="1">
        <w:r>
          <w:rPr>
            <w:rStyle w:val="Hyperlink"/>
            <w:noProof/>
          </w:rPr>
          <w:t>10. Conclusion</w:t>
        </w:r>
        <w:r>
          <w:rPr>
            <w:noProof/>
            <w:webHidden/>
          </w:rPr>
          <w:tab/>
        </w:r>
        <w:r>
          <w:rPr>
            <w:noProof/>
            <w:webHidden/>
          </w:rPr>
          <w:fldChar w:fldCharType="begin"/>
        </w:r>
        <w:r>
          <w:rPr>
            <w:noProof/>
            <w:webHidden/>
          </w:rPr>
          <w:instrText xml:space="preserve"> PAGEREF _Toc235024105 \h </w:instrText>
        </w:r>
        <w:r>
          <w:rPr>
            <w:noProof/>
            <w:webHidden/>
          </w:rPr>
        </w:r>
        <w:r>
          <w:rPr>
            <w:noProof/>
            <w:webHidden/>
          </w:rPr>
          <w:fldChar w:fldCharType="separate"/>
        </w:r>
        <w:r>
          <w:rPr>
            <w:noProof/>
            <w:webHidden/>
          </w:rPr>
          <w:t>15</w:t>
        </w:r>
        <w:r>
          <w:rPr>
            <w:noProof/>
            <w:webHidden/>
          </w:rPr>
          <w:fldChar w:fldCharType="end"/>
        </w:r>
      </w:hyperlink>
    </w:p>
    <w:p w14:paraId="79904143" w14:textId="74FD1FB3">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6" w:history="1">
        <w:r>
          <w:rPr>
            <w:rStyle w:val="Hyperlink"/>
            <w:noProof/>
          </w:rPr>
          <w:t>Références</w:t>
        </w:r>
        <w:r>
          <w:rPr>
            <w:noProof/>
            <w:webHidden/>
          </w:rPr>
          <w:tab/>
        </w:r>
        <w:r>
          <w:rPr>
            <w:noProof/>
            <w:webHidden/>
          </w:rPr>
          <w:fldChar w:fldCharType="begin"/>
        </w:r>
        <w:r>
          <w:rPr>
            <w:noProof/>
            <w:webHidden/>
          </w:rPr>
          <w:instrText xml:space="preserve"> PAGEREF _Toc235024106 \h </w:instrText>
        </w:r>
        <w:r>
          <w:rPr>
            <w:noProof/>
            <w:webHidden/>
          </w:rPr>
        </w:r>
        <w:r>
          <w:rPr>
            <w:noProof/>
            <w:webHidden/>
          </w:rPr>
          <w:fldChar w:fldCharType="separate"/>
        </w:r>
        <w:r>
          <w:rPr>
            <w:noProof/>
            <w:webHidden/>
          </w:rPr>
          <w:t>16</w:t>
        </w:r>
        <w:r>
          <w:rPr>
            <w:noProof/>
            <w:webHidden/>
          </w:rPr>
          <w:fldChar w:fldCharType="end"/>
        </w:r>
      </w:hyperlink>
    </w:p>
    <w:p w14:paraId="2E24AC90" w14:textId="3BE1B9CE">
      <w:pPr>
        <w:pStyle w:val="TOC1"/>
        <w:tabs>
          <w:tab w:val="right" w:leader="dot" w:pos="9350"/>
        </w:tabs>
        <w:rPr>
          <w:rFonts w:ascii="Times New Roman" w:hAnsi="Times New Roman" w:eastAsia="Times New Roman" w:cs="Times New Roman"/>
          <w:noProof/>
          <w:color w:val="auto"/>
          <w:kern w:val="2"/>
          <w:szCs w:val="24"/>
          <w:lang w:val="en-GB" w:eastAsia="en-GB"/>
          <w14:ligatures w14:val="standardContextual"/>
        </w:rPr>
      </w:pPr>
      <w:hyperlink w:anchor="_Toc235024107" w:history="1">
        <w:r>
          <w:rPr>
            <w:rStyle w:val="Hyperlink"/>
            <w:noProof/>
          </w:rPr>
          <w:t>Annexe A. Arêtes du PAG FCI</w:t>
        </w:r>
        <w:r>
          <w:rPr>
            <w:noProof/>
            <w:webHidden/>
          </w:rPr>
          <w:tab/>
        </w:r>
        <w:r>
          <w:rPr>
            <w:noProof/>
            <w:webHidden/>
          </w:rPr>
          <w:fldChar w:fldCharType="begin"/>
        </w:r>
        <w:r>
          <w:rPr>
            <w:noProof/>
            <w:webHidden/>
          </w:rPr>
          <w:instrText xml:space="preserve"> PAGEREF _Toc235024107 \h </w:instrText>
        </w:r>
        <w:r>
          <w:rPr>
            <w:noProof/>
            <w:webHidden/>
          </w:rPr>
        </w:r>
        <w:r>
          <w:rPr>
            <w:noProof/>
            <w:webHidden/>
          </w:rPr>
          <w:fldChar w:fldCharType="separate"/>
        </w:r>
        <w:r>
          <w:rPr>
            <w:noProof/>
            <w:webHidden/>
          </w:rPr>
          <w:t>17</w:t>
        </w:r>
        <w:r>
          <w:rPr>
            <w:noProof/>
            <w:webHidden/>
          </w:rPr>
          <w:fldChar w:fldCharType="end"/>
        </w:r>
      </w:hyperlink>
    </w:p>
    <w:p w14:paraId="0716798B" w14:textId="4FFCE8A7">
      <w:pPr>
        <w:spacing w:after="0"/>
      </w:pPr>
      <w:r>
        <w:rPr>
          <w:color w:val="666666"/>
          <w:sz w:val="18"/>
        </w:rPr>
        <w:fldChar w:fldCharType="end"/>
      </w:r>
    </w:p>
    <w:p w14:paraId="044189A4" w14:textId="77777777">
      <w:pPr>
        <w:sectPr>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149F845" w14:textId="77777777">
      <w:pPr>
        <w:pStyle w:val="Heading1"/>
      </w:pPr>
      <w:bookmarkStart w:id="0" w:name="_Toc235024096"/>
      <w:r>
        <w:lastRenderedPageBreak/>
        <w:t>1. Introduction et question causale</w:t>
      </w:r>
      <w:bookmarkEnd w:id="0"/>
    </w:p>
    <w:p w14:paraId="6DC668E6" w14:textId="77777777">
      <w:pPr>
        <w:pStyle w:val="Heading2"/>
      </w:pPr>
      <w:r>
        <w:t>1.1 Contexte et pertinence</w:t>
      </w:r>
    </w:p>
    <w:p w14:paraId="6FB326BA" w14:textId="77777777">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46E1B26B" w14:textId="77777777">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5B868EA8" w14:textId="77777777">
      <w:pPr>
        <w:pStyle w:val="Heading2"/>
      </w:pPr>
      <w:r>
        <w:t>1.2 Question, intervention et portée</w:t>
      </w:r>
    </w:p>
    <w:p w14:paraId="541BB06D" w14:textId="77777777">
      <w:pPr>
        <w:pStyle w:val="AcademicQuote"/>
      </w:pPr>
      <w:r>
        <w:t>Parmi les sessions avec SpecialDay=0, quel serait l'effet moyen du fait qu'une session ait lieu durant le weekend plutôt qu'en semaine sur la probabilité qu'elle se termine par une transaction ?</w:t>
      </w:r>
    </w:p>
    <w:p w14:paraId="454C26EE" w14:textId="77777777">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157E506E" w14:textId="77777777">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29E048E1" w14:textId="77777777">
      <w:pPr>
        <w:pStyle w:val="Heading1"/>
      </w:pPr>
      <w:bookmarkStart w:id="1" w:name="_Toc235024097"/>
      <w:r>
        <w:t>2. Données, variables et population cible</w:t>
      </w:r>
      <w:bookmarkEnd w:id="1"/>
    </w:p>
    <w:p w14:paraId="1C58AD11" w14:textId="77777777">
      <w:pPr>
        <w:pStyle w:val="Heading2"/>
      </w:pPr>
      <w:r>
        <w:t>2.1 Provenance et contrôles</w:t>
      </w:r>
    </w:p>
    <w:p w14:paraId="10F42A0A" w14:textId="77777777">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01FD7257" w14:textId="77777777">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14:paraId="3FAAE4B9" w14:textId="77777777">
        <w:trPr>
          <w:cantSplit/>
          <w:tblHeader/>
        </w:trPr>
        <w:tc>
          <w:tcPr>
            <w:tcW w:w="6500" w:type="dxa"/>
            <w:shd w:val="clear" w:color="auto" w:fill="E7E6E6"/>
            <w:tcMar>
              <w:top w:w="90" w:type="dxa"/>
              <w:left w:w="120" w:type="dxa"/>
              <w:bottom w:w="90" w:type="dxa"/>
              <w:right w:w="120" w:type="dxa"/>
            </w:tcMar>
            <w:vAlign w:val="center"/>
          </w:tcPr>
          <w:p w14:paraId="731829A0" w14:textId="77777777">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0101DDE9" w14:textId="77777777">
            <w:pPr>
              <w:keepNext/>
              <w:keepLines/>
              <w:spacing w:after="0" w:line="252" w:lineRule="auto"/>
              <w:jc w:val="right"/>
            </w:pPr>
            <w:r>
              <w:rPr>
                <w:b/>
                <w:sz w:val="19"/>
              </w:rPr>
              <w:t>Valeur</w:t>
            </w:r>
          </w:p>
        </w:tc>
      </w:tr>
      <w:tr w14:paraId="23CEBCEF" w14:textId="77777777">
        <w:trPr>
          <w:cantSplit/>
        </w:trPr>
        <w:tc>
          <w:tcPr>
            <w:tcW w:w="6500" w:type="dxa"/>
            <w:tcMar>
              <w:top w:w="90" w:type="dxa"/>
              <w:left w:w="120" w:type="dxa"/>
              <w:bottom w:w="90" w:type="dxa"/>
              <w:right w:w="120" w:type="dxa"/>
            </w:tcMar>
            <w:vAlign w:val="center"/>
          </w:tcPr>
          <w:p w14:paraId="1A156613" w14:textId="77777777">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41F9B62D" w14:textId="77777777">
            <w:pPr>
              <w:keepNext/>
              <w:keepLines/>
              <w:spacing w:after="0" w:line="252" w:lineRule="auto"/>
              <w:jc w:val="right"/>
            </w:pPr>
            <w:r>
              <w:rPr>
                <w:sz w:val="19"/>
              </w:rPr>
              <w:t>12 330</w:t>
            </w:r>
          </w:p>
        </w:tc>
      </w:tr>
      <w:tr w14:paraId="19F07CCA" w14:textId="77777777">
        <w:trPr>
          <w:cantSplit/>
        </w:trPr>
        <w:tc>
          <w:tcPr>
            <w:tcW w:w="6500" w:type="dxa"/>
            <w:shd w:val="clear" w:color="auto" w:fill="F7F7F7"/>
            <w:tcMar>
              <w:top w:w="90" w:type="dxa"/>
              <w:left w:w="120" w:type="dxa"/>
              <w:bottom w:w="90" w:type="dxa"/>
              <w:right w:w="120" w:type="dxa"/>
            </w:tcMar>
            <w:vAlign w:val="center"/>
          </w:tcPr>
          <w:p w14:paraId="4D32D578" w14:textId="77777777">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23442B9" w14:textId="77777777">
            <w:pPr>
              <w:keepNext/>
              <w:keepLines/>
              <w:spacing w:after="0" w:line="252" w:lineRule="auto"/>
              <w:jc w:val="right"/>
            </w:pPr>
            <w:r>
              <w:rPr>
                <w:sz w:val="19"/>
              </w:rPr>
              <w:t>18</w:t>
            </w:r>
          </w:p>
        </w:tc>
      </w:tr>
      <w:tr w14:paraId="4B4560D5" w14:textId="77777777">
        <w:trPr>
          <w:cantSplit/>
        </w:trPr>
        <w:tc>
          <w:tcPr>
            <w:tcW w:w="6500" w:type="dxa"/>
            <w:tcMar>
              <w:top w:w="90" w:type="dxa"/>
              <w:left w:w="120" w:type="dxa"/>
              <w:bottom w:w="90" w:type="dxa"/>
              <w:right w:w="120" w:type="dxa"/>
            </w:tcMar>
            <w:vAlign w:val="center"/>
          </w:tcPr>
          <w:p w14:paraId="39F01318" w14:textId="77777777">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4A196506" w14:textId="77777777">
            <w:pPr>
              <w:keepNext/>
              <w:keepLines/>
              <w:spacing w:after="0" w:line="252" w:lineRule="auto"/>
              <w:jc w:val="right"/>
            </w:pPr>
            <w:r>
              <w:rPr>
                <w:sz w:val="19"/>
              </w:rPr>
              <w:t>17</w:t>
            </w:r>
          </w:p>
        </w:tc>
      </w:tr>
      <w:tr w14:paraId="298FACE7" w14:textId="77777777">
        <w:trPr>
          <w:cantSplit/>
        </w:trPr>
        <w:tc>
          <w:tcPr>
            <w:tcW w:w="6500" w:type="dxa"/>
            <w:shd w:val="clear" w:color="auto" w:fill="F7F7F7"/>
            <w:tcMar>
              <w:top w:w="90" w:type="dxa"/>
              <w:left w:w="120" w:type="dxa"/>
              <w:bottom w:w="90" w:type="dxa"/>
              <w:right w:w="120" w:type="dxa"/>
            </w:tcMar>
            <w:vAlign w:val="center"/>
          </w:tcPr>
          <w:p w14:paraId="3FA0BA6C" w14:textId="77777777">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141CA26B" w14:textId="77777777">
            <w:pPr>
              <w:keepNext/>
              <w:keepLines/>
              <w:spacing w:after="0" w:line="252" w:lineRule="auto"/>
              <w:jc w:val="right"/>
            </w:pPr>
            <w:r>
              <w:rPr>
                <w:sz w:val="19"/>
              </w:rPr>
              <w:t>0</w:t>
            </w:r>
          </w:p>
        </w:tc>
      </w:tr>
      <w:tr w14:paraId="4B86005F" w14:textId="77777777">
        <w:trPr>
          <w:cantSplit/>
        </w:trPr>
        <w:tc>
          <w:tcPr>
            <w:tcW w:w="6500" w:type="dxa"/>
            <w:tcMar>
              <w:top w:w="90" w:type="dxa"/>
              <w:left w:w="120" w:type="dxa"/>
              <w:bottom w:w="90" w:type="dxa"/>
              <w:right w:w="120" w:type="dxa"/>
            </w:tcMar>
            <w:vAlign w:val="center"/>
          </w:tcPr>
          <w:p w14:paraId="07E8DF15" w14:textId="77777777">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0BC2CED9" w14:textId="77777777">
            <w:pPr>
              <w:keepNext/>
              <w:keepLines/>
              <w:spacing w:after="0" w:line="252" w:lineRule="auto"/>
              <w:jc w:val="right"/>
            </w:pPr>
            <w:r>
              <w:rPr>
                <w:sz w:val="19"/>
              </w:rPr>
              <w:t>125</w:t>
            </w:r>
          </w:p>
        </w:tc>
      </w:tr>
      <w:tr w14:paraId="24A3F581" w14:textId="77777777">
        <w:trPr>
          <w:cantSplit/>
        </w:trPr>
        <w:tc>
          <w:tcPr>
            <w:tcW w:w="6500" w:type="dxa"/>
            <w:shd w:val="clear" w:color="auto" w:fill="F7F7F7"/>
            <w:tcMar>
              <w:top w:w="90" w:type="dxa"/>
              <w:left w:w="120" w:type="dxa"/>
              <w:bottom w:w="90" w:type="dxa"/>
              <w:right w:w="120" w:type="dxa"/>
            </w:tcMar>
            <w:vAlign w:val="center"/>
          </w:tcPr>
          <w:p w14:paraId="6EC9166C" w14:textId="77777777">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336E2C3D" w14:textId="77777777">
            <w:pPr>
              <w:keepNext/>
              <w:keepLines/>
              <w:spacing w:after="0" w:line="252" w:lineRule="auto"/>
              <w:jc w:val="right"/>
            </w:pPr>
            <w:r>
              <w:rPr>
                <w:sz w:val="19"/>
              </w:rPr>
              <w:t>1 908</w:t>
            </w:r>
          </w:p>
        </w:tc>
      </w:tr>
      <w:tr w14:paraId="70CE516E" w14:textId="77777777">
        <w:trPr>
          <w:cantSplit/>
        </w:trPr>
        <w:tc>
          <w:tcPr>
            <w:tcW w:w="6500" w:type="dxa"/>
            <w:tcMar>
              <w:top w:w="90" w:type="dxa"/>
              <w:left w:w="120" w:type="dxa"/>
              <w:bottom w:w="90" w:type="dxa"/>
              <w:right w:w="120" w:type="dxa"/>
            </w:tcMar>
            <w:vAlign w:val="center"/>
          </w:tcPr>
          <w:p w14:paraId="410E2B6F" w14:textId="77777777">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7A5056F" w14:textId="77777777">
            <w:pPr>
              <w:keepNext/>
              <w:keepLines/>
              <w:spacing w:after="0" w:line="252" w:lineRule="auto"/>
              <w:jc w:val="right"/>
            </w:pPr>
            <w:r>
              <w:rPr>
                <w:sz w:val="19"/>
              </w:rPr>
              <w:t>15,47 %</w:t>
            </w:r>
          </w:p>
        </w:tc>
      </w:tr>
    </w:tbl>
    <w:p w14:paraId="3616EE8F" w14:textId="77777777">
      <w:pPr>
        <w:pStyle w:val="Source"/>
      </w:pPr>
      <w:r>
        <w:t>Source : contrôles exécutés dans le notebook final; N = 12 330.</w:t>
      </w:r>
    </w:p>
    <w:p w14:paraId="28CAB8B2" w14:textId="77777777">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041C48DA" w14:textId="77777777">
      <w:r>
        <w:rPr>
          <w:b/>
        </w:rPr>
        <w:t xml:space="preserve">Empreinte SHA-256. </w:t>
      </w:r>
      <w:r>
        <w:t>la copie analysée est identifiée par l'empreinte suivante :</w:t>
      </w:r>
    </w:p>
    <w:p w14:paraId="4C2391E9" w14:textId="77777777">
      <w:pPr>
        <w:pStyle w:val="AcademicCode"/>
      </w:pPr>
      <w:r>
        <w:t>b3055ee355f59134d851d32641183cb4a8b45def7124d2f50442a042f358e0d9</w:t>
      </w:r>
    </w:p>
    <w:p w14:paraId="0BA172C3" w14:textId="77777777">
      <w:pPr>
        <w:pStyle w:val="Heading2"/>
      </w:pPr>
      <w:r>
        <w:t>2.2 Rôle causal des variables</w:t>
      </w:r>
    </w:p>
    <w:p w14:paraId="4BBC5185" w14:textId="77777777">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12903B61" w14:textId="77777777">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14:paraId="6C989FFA" w14:textId="77777777">
        <w:trPr>
          <w:cantSplit/>
          <w:tblHeader/>
        </w:trPr>
        <w:tc>
          <w:tcPr>
            <w:tcW w:w="1900" w:type="dxa"/>
            <w:shd w:val="clear" w:color="auto" w:fill="E7E6E6"/>
            <w:tcMar>
              <w:top w:w="90" w:type="dxa"/>
              <w:left w:w="120" w:type="dxa"/>
              <w:bottom w:w="90" w:type="dxa"/>
              <w:right w:w="120" w:type="dxa"/>
            </w:tcMar>
            <w:vAlign w:val="center"/>
          </w:tcPr>
          <w:p w14:paraId="4242A678" w14:textId="77777777">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11F92635" w14:textId="77777777">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1E3B8637" w14:textId="77777777">
            <w:pPr>
              <w:keepNext/>
              <w:keepLines/>
              <w:spacing w:after="0" w:line="252" w:lineRule="auto"/>
              <w:jc w:val="left"/>
            </w:pPr>
            <w:r>
              <w:rPr>
                <w:b/>
                <w:sz w:val="17"/>
              </w:rPr>
              <w:t>Justification</w:t>
            </w:r>
          </w:p>
        </w:tc>
      </w:tr>
      <w:tr w14:paraId="6EE2DDB0" w14:textId="77777777">
        <w:trPr>
          <w:cantSplit/>
        </w:trPr>
        <w:tc>
          <w:tcPr>
            <w:tcW w:w="1900" w:type="dxa"/>
            <w:tcMar>
              <w:top w:w="90" w:type="dxa"/>
              <w:left w:w="120" w:type="dxa"/>
              <w:bottom w:w="90" w:type="dxa"/>
              <w:right w:w="120" w:type="dxa"/>
            </w:tcMar>
            <w:vAlign w:val="center"/>
          </w:tcPr>
          <w:p w14:paraId="363E3C45" w14:textId="77777777">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0C9B060D" w14:textId="77777777">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3243D22D" w14:textId="77777777">
            <w:pPr>
              <w:keepNext/>
              <w:keepLines/>
              <w:spacing w:after="0" w:line="252" w:lineRule="auto"/>
              <w:jc w:val="left"/>
            </w:pPr>
            <w:r>
              <w:rPr>
                <w:sz w:val="17"/>
              </w:rPr>
              <w:t>1 = weekend; 0 = semaine</w:t>
            </w:r>
          </w:p>
        </w:tc>
      </w:tr>
      <w:tr w14:paraId="1D6AA188" w14:textId="77777777">
        <w:trPr>
          <w:cantSplit/>
        </w:trPr>
        <w:tc>
          <w:tcPr>
            <w:tcW w:w="1900" w:type="dxa"/>
            <w:shd w:val="clear" w:color="auto" w:fill="F7F7F7"/>
            <w:tcMar>
              <w:top w:w="90" w:type="dxa"/>
              <w:left w:w="120" w:type="dxa"/>
              <w:bottom w:w="90" w:type="dxa"/>
              <w:right w:w="120" w:type="dxa"/>
            </w:tcMar>
            <w:vAlign w:val="center"/>
          </w:tcPr>
          <w:p w14:paraId="105FA4DF" w14:textId="77777777">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4044C346" w14:textId="77777777">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29041A1D" w14:textId="77777777">
            <w:pPr>
              <w:keepNext/>
              <w:keepLines/>
              <w:spacing w:after="0" w:line="252" w:lineRule="auto"/>
              <w:jc w:val="left"/>
            </w:pPr>
            <w:r>
              <w:rPr>
                <w:sz w:val="17"/>
              </w:rPr>
              <w:t>Transaction binaire; aucun montant monétaire</w:t>
            </w:r>
          </w:p>
        </w:tc>
      </w:tr>
      <w:tr w14:paraId="4CA7290D" w14:textId="77777777">
        <w:trPr>
          <w:cantSplit/>
        </w:trPr>
        <w:tc>
          <w:tcPr>
            <w:tcW w:w="1900" w:type="dxa"/>
            <w:tcMar>
              <w:top w:w="90" w:type="dxa"/>
              <w:left w:w="120" w:type="dxa"/>
              <w:bottom w:w="90" w:type="dxa"/>
              <w:right w:w="120" w:type="dxa"/>
            </w:tcMar>
            <w:vAlign w:val="center"/>
          </w:tcPr>
          <w:p w14:paraId="1EC38D77" w14:textId="77777777">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4F16C467" w14:textId="77777777">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377989C5" w14:textId="77777777">
            <w:pPr>
              <w:keepNext/>
              <w:keepLines/>
              <w:spacing w:after="0" w:line="252" w:lineRule="auto"/>
              <w:jc w:val="left"/>
            </w:pPr>
            <w:r>
              <w:rPr>
                <w:sz w:val="17"/>
              </w:rPr>
              <w:t>Covariables pré-session supposées</w:t>
            </w:r>
          </w:p>
        </w:tc>
      </w:tr>
      <w:tr w14:paraId="1063087C" w14:textId="77777777">
        <w:trPr>
          <w:cantSplit/>
        </w:trPr>
        <w:tc>
          <w:tcPr>
            <w:tcW w:w="1900" w:type="dxa"/>
            <w:shd w:val="clear" w:color="auto" w:fill="F7F7F7"/>
            <w:tcMar>
              <w:top w:w="90" w:type="dxa"/>
              <w:left w:w="120" w:type="dxa"/>
              <w:bottom w:w="90" w:type="dxa"/>
              <w:right w:w="120" w:type="dxa"/>
            </w:tcMar>
            <w:vAlign w:val="center"/>
          </w:tcPr>
          <w:p w14:paraId="43DEB36F" w14:textId="77777777">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51968FC0" w14:textId="77777777">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18159E35" w14:textId="77777777">
            <w:pPr>
              <w:keepNext/>
              <w:keepLines/>
              <w:spacing w:after="0" w:line="252" w:lineRule="auto"/>
              <w:jc w:val="left"/>
            </w:pPr>
            <w:r>
              <w:rPr>
                <w:sz w:val="17"/>
              </w:rPr>
              <w:t>Restriction principale à la valeur 0</w:t>
            </w:r>
          </w:p>
        </w:tc>
      </w:tr>
      <w:tr w14:paraId="5088114C" w14:textId="77777777">
        <w:trPr>
          <w:cantSplit/>
        </w:trPr>
        <w:tc>
          <w:tcPr>
            <w:tcW w:w="1900" w:type="dxa"/>
            <w:tcMar>
              <w:top w:w="90" w:type="dxa"/>
              <w:left w:w="120" w:type="dxa"/>
              <w:bottom w:w="90" w:type="dxa"/>
              <w:right w:w="120" w:type="dxa"/>
            </w:tcMar>
            <w:vAlign w:val="center"/>
          </w:tcPr>
          <w:p w14:paraId="42493D7C" w14:textId="77777777">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0EC89FFB" w14:textId="77777777">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41AE232B" w14:textId="77777777">
            <w:pPr>
              <w:keepNext/>
              <w:keepLines/>
              <w:spacing w:after="0" w:line="252" w:lineRule="auto"/>
              <w:jc w:val="left"/>
            </w:pPr>
            <w:r>
              <w:rPr>
                <w:sz w:val="17"/>
              </w:rPr>
              <w:t>Variables de navigation exclues de Z</w:t>
            </w:r>
          </w:p>
        </w:tc>
      </w:tr>
      <w:tr w14:paraId="52825E18" w14:textId="77777777">
        <w:trPr>
          <w:cantSplit/>
        </w:trPr>
        <w:tc>
          <w:tcPr>
            <w:tcW w:w="1900" w:type="dxa"/>
            <w:shd w:val="clear" w:color="auto" w:fill="F7F7F7"/>
            <w:tcMar>
              <w:top w:w="90" w:type="dxa"/>
              <w:left w:w="120" w:type="dxa"/>
              <w:bottom w:w="90" w:type="dxa"/>
              <w:right w:w="120" w:type="dxa"/>
            </w:tcMar>
            <w:vAlign w:val="center"/>
          </w:tcPr>
          <w:p w14:paraId="0F0C60F0" w14:textId="77777777">
            <w:pPr>
              <w:keepNext/>
              <w:keepLines/>
              <w:spacing w:after="0" w:line="252" w:lineRule="auto"/>
              <w:jc w:val="left"/>
            </w:pPr>
            <w:r>
              <w:rPr>
                <w:sz w:val="17"/>
              </w:rPr>
              <w:t>Variable proche de Y</w:t>
            </w:r>
          </w:p>
        </w:tc>
        <w:tc>
          <w:tcPr>
            <w:tcW w:w="3300" w:type="dxa"/>
            <w:shd w:val="clear" w:color="auto" w:fill="F7F7F7"/>
            <w:tcMar>
              <w:top w:w="90" w:type="dxa"/>
              <w:left w:w="120" w:type="dxa"/>
              <w:bottom w:w="90" w:type="dxa"/>
              <w:right w:w="120" w:type="dxa"/>
            </w:tcMar>
            <w:vAlign w:val="center"/>
          </w:tcPr>
          <w:p w14:paraId="68EF7FDF" w14:textId="77777777">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4709800D" w14:textId="77777777">
            <w:pPr>
              <w:keepNext/>
              <w:keepLines/>
              <w:spacing w:after="0" w:line="252" w:lineRule="auto"/>
              <w:jc w:val="left"/>
            </w:pPr>
            <w:r>
              <w:rPr>
                <w:sz w:val="17"/>
              </w:rPr>
              <w:t>Ordre temporel incertain; exclue conservativement de Z</w:t>
            </w:r>
          </w:p>
        </w:tc>
      </w:tr>
      <w:tr w14:paraId="528A7C7A" w14:textId="77777777">
        <w:trPr>
          <w:cantSplit/>
        </w:trPr>
        <w:tc>
          <w:tcPr>
            <w:tcW w:w="1900" w:type="dxa"/>
            <w:tcMar>
              <w:top w:w="90" w:type="dxa"/>
              <w:left w:w="120" w:type="dxa"/>
              <w:bottom w:w="90" w:type="dxa"/>
              <w:right w:w="120" w:type="dxa"/>
            </w:tcMar>
            <w:vAlign w:val="center"/>
          </w:tcPr>
          <w:p w14:paraId="6E60A3B8" w14:textId="77777777">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0C75C45B" w14:textId="77777777">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1CFA89F0" w14:textId="77777777">
            <w:pPr>
              <w:keepNext/>
              <w:keepLines/>
              <w:spacing w:after="0" w:line="252" w:lineRule="auto"/>
              <w:jc w:val="left"/>
            </w:pPr>
            <w:r>
              <w:rPr>
                <w:sz w:val="17"/>
              </w:rPr>
              <w:t>Menaces à l'échangeabilité</w:t>
            </w:r>
          </w:p>
        </w:tc>
      </w:tr>
      <w:tr w14:paraId="5DF6BA95" w14:textId="77777777">
        <w:trPr>
          <w:cantSplit/>
        </w:trPr>
        <w:tc>
          <w:tcPr>
            <w:tcW w:w="1900" w:type="dxa"/>
            <w:shd w:val="clear" w:color="auto" w:fill="F7F7F7"/>
            <w:tcMar>
              <w:top w:w="90" w:type="dxa"/>
              <w:left w:w="120" w:type="dxa"/>
              <w:bottom w:w="90" w:type="dxa"/>
              <w:right w:w="120" w:type="dxa"/>
            </w:tcMar>
            <w:vAlign w:val="center"/>
          </w:tcPr>
          <w:p w14:paraId="25D62851" w14:textId="77777777">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23D576A8" w14:textId="77777777">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4F35CC98" w14:textId="77777777">
            <w:pPr>
              <w:keepNext/>
              <w:keepLines/>
              <w:spacing w:after="0" w:line="252" w:lineRule="auto"/>
              <w:jc w:val="left"/>
            </w:pPr>
            <w:r>
              <w:rPr>
                <w:sz w:val="17"/>
              </w:rPr>
              <w:t>Aucune variable ne satisfait les conditions requises</w:t>
            </w:r>
          </w:p>
        </w:tc>
      </w:tr>
    </w:tbl>
    <w:p w14:paraId="5D60DE63" w14:textId="77777777">
      <w:pPr>
        <w:pStyle w:val="Source"/>
      </w:pPr>
      <w:r>
        <w:t>Source : classification causale définie avant l'estimation dans le notebook final.</w:t>
      </w:r>
    </w:p>
    <w:p w14:paraId="68406A42" w14:textId="77777777">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0A394E35" w14:textId="77777777">
      <w:pPr>
        <w:pStyle w:val="Heading2"/>
      </w:pPr>
      <w:r>
        <w:t>2.3 Recouvrement et population cible</w:t>
      </w:r>
    </w:p>
    <w:p w14:paraId="5379EDC4" w14:textId="77777777">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14:paraId="1CF9B388" w14:textId="77777777">
        <w:trPr>
          <w:cantSplit/>
          <w:tblHeader/>
        </w:trPr>
        <w:tc>
          <w:tcPr>
            <w:tcW w:w="3120" w:type="dxa"/>
            <w:shd w:val="clear" w:color="auto" w:fill="E7E6E6"/>
            <w:tcMar>
              <w:top w:w="90" w:type="dxa"/>
              <w:left w:w="120" w:type="dxa"/>
              <w:bottom w:w="90" w:type="dxa"/>
              <w:right w:w="120" w:type="dxa"/>
            </w:tcMar>
            <w:vAlign w:val="center"/>
          </w:tcPr>
          <w:p w14:paraId="07A35FFC" w14:textId="77777777">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21A5E99E" w14:textId="77777777">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500062C" w14:textId="77777777">
            <w:pPr>
              <w:keepNext/>
              <w:keepLines/>
              <w:spacing w:after="0" w:line="252" w:lineRule="auto"/>
              <w:jc w:val="right"/>
            </w:pPr>
            <w:r>
              <w:rPr>
                <w:b/>
                <w:sz w:val="18"/>
              </w:rPr>
              <w:t>Weekend</w:t>
            </w:r>
          </w:p>
        </w:tc>
      </w:tr>
      <w:tr w14:paraId="39239169" w14:textId="77777777">
        <w:trPr>
          <w:cantSplit/>
        </w:trPr>
        <w:tc>
          <w:tcPr>
            <w:tcW w:w="3120" w:type="dxa"/>
            <w:tcMar>
              <w:top w:w="90" w:type="dxa"/>
              <w:left w:w="120" w:type="dxa"/>
              <w:bottom w:w="90" w:type="dxa"/>
              <w:right w:w="120" w:type="dxa"/>
            </w:tcMar>
            <w:vAlign w:val="center"/>
          </w:tcPr>
          <w:p w14:paraId="32693176" w14:textId="77777777">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089B5988" w14:textId="77777777">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4AC66BD4" w14:textId="77777777">
            <w:pPr>
              <w:keepNext/>
              <w:keepLines/>
              <w:spacing w:after="0" w:line="252" w:lineRule="auto"/>
              <w:jc w:val="right"/>
            </w:pPr>
            <w:r>
              <w:rPr>
                <w:sz w:val="18"/>
              </w:rPr>
              <w:t>2708</w:t>
            </w:r>
          </w:p>
        </w:tc>
      </w:tr>
      <w:tr w14:paraId="00CCBECE" w14:textId="77777777">
        <w:trPr>
          <w:cantSplit/>
        </w:trPr>
        <w:tc>
          <w:tcPr>
            <w:tcW w:w="3120" w:type="dxa"/>
            <w:shd w:val="clear" w:color="auto" w:fill="F7F7F7"/>
            <w:tcMar>
              <w:top w:w="90" w:type="dxa"/>
              <w:left w:w="120" w:type="dxa"/>
              <w:bottom w:w="90" w:type="dxa"/>
              <w:right w:w="120" w:type="dxa"/>
            </w:tcMar>
            <w:vAlign w:val="center"/>
          </w:tcPr>
          <w:p w14:paraId="248E4A7A" w14:textId="77777777">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01CC024A" w14:textId="77777777">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0A808DCE" w14:textId="77777777">
            <w:pPr>
              <w:keepNext/>
              <w:keepLines/>
              <w:spacing w:after="0" w:line="252" w:lineRule="auto"/>
              <w:jc w:val="right"/>
            </w:pPr>
            <w:r>
              <w:rPr>
                <w:sz w:val="18"/>
              </w:rPr>
              <w:t>0</w:t>
            </w:r>
          </w:p>
        </w:tc>
      </w:tr>
      <w:tr w14:paraId="1239C8D0" w14:textId="77777777">
        <w:trPr>
          <w:cantSplit/>
        </w:trPr>
        <w:tc>
          <w:tcPr>
            <w:tcW w:w="3120" w:type="dxa"/>
            <w:tcMar>
              <w:top w:w="90" w:type="dxa"/>
              <w:left w:w="120" w:type="dxa"/>
              <w:bottom w:w="90" w:type="dxa"/>
              <w:right w:w="120" w:type="dxa"/>
            </w:tcMar>
            <w:vAlign w:val="center"/>
          </w:tcPr>
          <w:p w14:paraId="49C09A53" w14:textId="77777777">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7CED4742" w14:textId="77777777">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35D39CF9" w14:textId="77777777">
            <w:pPr>
              <w:keepNext/>
              <w:keepLines/>
              <w:spacing w:after="0" w:line="252" w:lineRule="auto"/>
              <w:jc w:val="right"/>
            </w:pPr>
            <w:r>
              <w:rPr>
                <w:sz w:val="18"/>
              </w:rPr>
              <w:t>0</w:t>
            </w:r>
          </w:p>
        </w:tc>
      </w:tr>
      <w:tr w14:paraId="2D2D6854" w14:textId="77777777">
        <w:trPr>
          <w:cantSplit/>
        </w:trPr>
        <w:tc>
          <w:tcPr>
            <w:tcW w:w="3120" w:type="dxa"/>
            <w:shd w:val="clear" w:color="auto" w:fill="F7F7F7"/>
            <w:tcMar>
              <w:top w:w="90" w:type="dxa"/>
              <w:left w:w="120" w:type="dxa"/>
              <w:bottom w:w="90" w:type="dxa"/>
              <w:right w:w="120" w:type="dxa"/>
            </w:tcMar>
            <w:vAlign w:val="center"/>
          </w:tcPr>
          <w:p w14:paraId="4DD98A8F" w14:textId="77777777">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2DA5763A" w14:textId="77777777">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FB56696" w14:textId="77777777">
            <w:pPr>
              <w:keepNext/>
              <w:keepLines/>
              <w:spacing w:after="0" w:line="252" w:lineRule="auto"/>
              <w:jc w:val="right"/>
            </w:pPr>
            <w:r>
              <w:rPr>
                <w:sz w:val="18"/>
              </w:rPr>
              <w:t>0</w:t>
            </w:r>
          </w:p>
        </w:tc>
      </w:tr>
      <w:tr w14:paraId="4455169D" w14:textId="77777777">
        <w:trPr>
          <w:cantSplit/>
        </w:trPr>
        <w:tc>
          <w:tcPr>
            <w:tcW w:w="3120" w:type="dxa"/>
            <w:tcMar>
              <w:top w:w="90" w:type="dxa"/>
              <w:left w:w="120" w:type="dxa"/>
              <w:bottom w:w="90" w:type="dxa"/>
              <w:right w:w="120" w:type="dxa"/>
            </w:tcMar>
            <w:vAlign w:val="center"/>
          </w:tcPr>
          <w:p w14:paraId="42081E34" w14:textId="77777777">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4C7B99DD" w14:textId="77777777">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3CCA9F7B" w14:textId="77777777">
            <w:pPr>
              <w:keepNext/>
              <w:keepLines/>
              <w:spacing w:after="0" w:line="252" w:lineRule="auto"/>
              <w:jc w:val="right"/>
            </w:pPr>
            <w:r>
              <w:rPr>
                <w:sz w:val="18"/>
              </w:rPr>
              <w:t>6</w:t>
            </w:r>
          </w:p>
        </w:tc>
      </w:tr>
      <w:tr w14:paraId="3A2223B5" w14:textId="77777777">
        <w:trPr>
          <w:cantSplit/>
        </w:trPr>
        <w:tc>
          <w:tcPr>
            <w:tcW w:w="3120" w:type="dxa"/>
            <w:shd w:val="clear" w:color="auto" w:fill="F7F7F7"/>
            <w:tcMar>
              <w:top w:w="90" w:type="dxa"/>
              <w:left w:w="120" w:type="dxa"/>
              <w:bottom w:w="90" w:type="dxa"/>
              <w:right w:w="120" w:type="dxa"/>
            </w:tcMar>
            <w:vAlign w:val="center"/>
          </w:tcPr>
          <w:p w14:paraId="0F515237" w14:textId="77777777">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3DCBBEE7" w14:textId="77777777">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67833A" w14:textId="77777777">
            <w:pPr>
              <w:keepNext/>
              <w:keepLines/>
              <w:spacing w:after="0" w:line="252" w:lineRule="auto"/>
              <w:jc w:val="right"/>
            </w:pPr>
            <w:r>
              <w:rPr>
                <w:sz w:val="18"/>
              </w:rPr>
              <w:t>154</w:t>
            </w:r>
          </w:p>
        </w:tc>
      </w:tr>
    </w:tbl>
    <w:p w14:paraId="4AC0B636" w14:textId="77777777">
      <w:pPr>
        <w:pStyle w:val="Source"/>
      </w:pPr>
      <w:r>
        <w:t>Source : tabulation de la base brute; N = 12 330.</w:t>
      </w:r>
    </w:p>
    <w:p w14:paraId="5E1B1F31" w14:textId="77777777">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51887204" w14:textId="77777777">
      <w:pPr>
        <w:keepNext/>
        <w:keepLines/>
        <w:spacing w:before="100" w:after="40"/>
        <w:jc w:val="center"/>
      </w:pPr>
      <w:r>
        <w:rPr>
          <w:noProof/>
        </w:rPr>
        <w:drawing>
          <wp:inline distT="0" distB="0" distL="0" distR="0" wp14:anchorId="11AD72EA" wp14:editId="461E324E">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A8AEDC6" w14:textId="77777777">
      <w:pPr>
        <w:pStyle w:val="Caption"/>
      </w:pPr>
      <w:r>
        <w:t>Figure 1. Taux de transaction observé et recouvrement de SpecialDay</w:t>
      </w:r>
    </w:p>
    <w:p w14:paraId="3ED0BB77" w14:textId="77777777">
      <w:pPr>
        <w:pStyle w:val="Source"/>
      </w:pPr>
      <w:r>
        <w:t>Source : calculs réalisés dans le notebook final.</w:t>
      </w:r>
    </w:p>
    <w:p w14:paraId="68B4ABDB" w14:textId="77777777">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631D269" w14:textId="77777777">
      <w:pPr>
        <w:pStyle w:val="Heading1"/>
      </w:pPr>
      <w:bookmarkStart w:id="2" w:name="_Toc235024098"/>
      <w:r>
        <w:t>3. Connaissances préalables et DAG de domaine</w:t>
      </w:r>
      <w:bookmarkEnd w:id="2"/>
    </w:p>
    <w:p w14:paraId="70620EE3" w14:textId="77777777">
      <w:pPr>
        <w:pStyle w:val="Heading2"/>
      </w:pPr>
      <w:r>
        <w:t>3.1 Ordre temporel et mécanismes plausibles</w:t>
      </w:r>
    </w:p>
    <w:p w14:paraId="7CE20755" w14:textId="77777777">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0640453D" w14:textId="77777777">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6AACE44A" w14:textId="77777777">
      <w:pPr>
        <w:pStyle w:val="Heading2"/>
      </w:pPr>
      <w:r>
        <w:t>3.2 Arêtes retenues, interdites et ambiguës</w:t>
      </w:r>
    </w:p>
    <w:p w14:paraId="05BECE64" w14:textId="77777777">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14:paraId="34E5DF56" w14:textId="77777777">
        <w:trPr>
          <w:cantSplit/>
          <w:tblHeader/>
        </w:trPr>
        <w:tc>
          <w:tcPr>
            <w:tcW w:w="1800" w:type="dxa"/>
            <w:shd w:val="clear" w:color="auto" w:fill="E7E6E6"/>
            <w:tcMar>
              <w:top w:w="90" w:type="dxa"/>
              <w:left w:w="120" w:type="dxa"/>
              <w:bottom w:w="90" w:type="dxa"/>
              <w:right w:w="120" w:type="dxa"/>
            </w:tcMar>
            <w:vAlign w:val="center"/>
          </w:tcPr>
          <w:p w14:paraId="04008E33" w14:textId="77777777">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245BF306" w14:textId="77777777">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7687055E" w14:textId="77777777">
            <w:pPr>
              <w:keepNext/>
              <w:keepLines/>
              <w:spacing w:after="0" w:line="252" w:lineRule="auto"/>
              <w:jc w:val="left"/>
            </w:pPr>
            <w:r>
              <w:rPr>
                <w:b/>
                <w:sz w:val="17"/>
              </w:rPr>
              <w:t>Justification</w:t>
            </w:r>
          </w:p>
        </w:tc>
      </w:tr>
      <w:tr w14:paraId="13272070" w14:textId="77777777">
        <w:trPr>
          <w:cantSplit/>
        </w:trPr>
        <w:tc>
          <w:tcPr>
            <w:tcW w:w="1800" w:type="dxa"/>
            <w:tcMar>
              <w:top w:w="90" w:type="dxa"/>
              <w:left w:w="120" w:type="dxa"/>
              <w:bottom w:w="90" w:type="dxa"/>
              <w:right w:w="120" w:type="dxa"/>
            </w:tcMar>
            <w:vAlign w:val="center"/>
          </w:tcPr>
          <w:p w14:paraId="71B5A734" w14:textId="77777777">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0DC623C" w14:textId="77777777">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01B18AD1" w14:textId="77777777">
            <w:pPr>
              <w:keepNext/>
              <w:keepLines/>
              <w:spacing w:after="0" w:line="252" w:lineRule="auto"/>
              <w:jc w:val="left"/>
            </w:pPr>
            <w:r>
              <w:rPr>
                <w:sz w:val="17"/>
              </w:rPr>
              <w:t>Le contexte et le profil ne peuvent pas être causés par la transaction courante.</w:t>
            </w:r>
          </w:p>
        </w:tc>
      </w:tr>
      <w:tr w14:paraId="2288A9E8" w14:textId="77777777">
        <w:trPr>
          <w:cantSplit/>
        </w:trPr>
        <w:tc>
          <w:tcPr>
            <w:tcW w:w="1800" w:type="dxa"/>
            <w:shd w:val="clear" w:color="auto" w:fill="F7F7F7"/>
            <w:tcMar>
              <w:top w:w="90" w:type="dxa"/>
              <w:left w:w="120" w:type="dxa"/>
              <w:bottom w:w="90" w:type="dxa"/>
              <w:right w:w="120" w:type="dxa"/>
            </w:tcMar>
            <w:vAlign w:val="center"/>
          </w:tcPr>
          <w:p w14:paraId="5F14181E" w14:textId="77777777">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20EE26EB" w14:textId="77777777">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6B57CE0D" w14:textId="77777777">
            <w:pPr>
              <w:keepNext/>
              <w:keepLines/>
              <w:spacing w:after="0" w:line="252" w:lineRule="auto"/>
              <w:jc w:val="left"/>
            </w:pPr>
            <w:r>
              <w:rPr>
                <w:sz w:val="17"/>
              </w:rPr>
              <w:t>Le moment et le canal peuvent modifier le parcours.</w:t>
            </w:r>
          </w:p>
        </w:tc>
      </w:tr>
      <w:tr w14:paraId="7227B89F" w14:textId="77777777">
        <w:trPr>
          <w:cantSplit/>
        </w:trPr>
        <w:tc>
          <w:tcPr>
            <w:tcW w:w="1800" w:type="dxa"/>
            <w:tcMar>
              <w:top w:w="90" w:type="dxa"/>
              <w:left w:w="120" w:type="dxa"/>
              <w:bottom w:w="90" w:type="dxa"/>
              <w:right w:w="120" w:type="dxa"/>
            </w:tcMar>
            <w:vAlign w:val="center"/>
          </w:tcPr>
          <w:p w14:paraId="6FEAF362" w14:textId="77777777">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2387E918" w14:textId="77777777">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3006062D" w14:textId="77777777">
            <w:pPr>
              <w:keepNext/>
              <w:keepLines/>
              <w:spacing w:after="0" w:line="252" w:lineRule="auto"/>
              <w:jc w:val="left"/>
            </w:pPr>
            <w:r>
              <w:rPr>
                <w:sz w:val="17"/>
              </w:rPr>
              <w:t>Le comportement durant la session peut précéder la transaction.</w:t>
            </w:r>
          </w:p>
        </w:tc>
      </w:tr>
      <w:tr w14:paraId="701B6FDB" w14:textId="77777777">
        <w:trPr>
          <w:cantSplit/>
        </w:trPr>
        <w:tc>
          <w:tcPr>
            <w:tcW w:w="1800" w:type="dxa"/>
            <w:shd w:val="clear" w:color="auto" w:fill="F7F7F7"/>
            <w:tcMar>
              <w:top w:w="90" w:type="dxa"/>
              <w:left w:w="120" w:type="dxa"/>
              <w:bottom w:w="90" w:type="dxa"/>
              <w:right w:w="120" w:type="dxa"/>
            </w:tcMar>
            <w:vAlign w:val="center"/>
          </w:tcPr>
          <w:p w14:paraId="78E2A884" w14:textId="77777777">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2A67BA6E" w14:textId="77777777">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6867C5C8" w14:textId="77777777">
            <w:pPr>
              <w:keepNext/>
              <w:keepLines/>
              <w:spacing w:after="0" w:line="252" w:lineRule="auto"/>
              <w:jc w:val="left"/>
            </w:pPr>
            <w:r>
              <w:rPr>
                <w:sz w:val="17"/>
              </w:rPr>
              <w:t>Son ordre précis étant incertain, elle n'est pas retenue comme cause pré-session.</w:t>
            </w:r>
          </w:p>
        </w:tc>
      </w:tr>
      <w:tr w14:paraId="7709DC27" w14:textId="77777777">
        <w:trPr>
          <w:cantSplit/>
        </w:trPr>
        <w:tc>
          <w:tcPr>
            <w:tcW w:w="1800" w:type="dxa"/>
            <w:tcMar>
              <w:top w:w="90" w:type="dxa"/>
              <w:left w:w="120" w:type="dxa"/>
              <w:bottom w:w="90" w:type="dxa"/>
              <w:right w:w="120" w:type="dxa"/>
            </w:tcMar>
            <w:vAlign w:val="center"/>
          </w:tcPr>
          <w:p w14:paraId="679F1B78" w14:textId="77777777">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5DEDAE9F" w14:textId="77777777">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0250F669" w14:textId="77777777">
            <w:pPr>
              <w:keepNext/>
              <w:keepLines/>
              <w:spacing w:after="0" w:line="252" w:lineRule="auto"/>
              <w:jc w:val="left"/>
            </w:pPr>
            <w:r>
              <w:rPr>
                <w:sz w:val="17"/>
              </w:rPr>
              <w:t>Une transaction courante ne remonte pas le temps pour modifier le contexte.</w:t>
            </w:r>
          </w:p>
        </w:tc>
      </w:tr>
      <w:tr w14:paraId="5F0AC26A" w14:textId="77777777">
        <w:trPr>
          <w:cantSplit/>
        </w:trPr>
        <w:tc>
          <w:tcPr>
            <w:tcW w:w="1800" w:type="dxa"/>
            <w:shd w:val="clear" w:color="auto" w:fill="F7F7F7"/>
            <w:tcMar>
              <w:top w:w="90" w:type="dxa"/>
              <w:left w:w="120" w:type="dxa"/>
              <w:bottom w:w="90" w:type="dxa"/>
              <w:right w:w="120" w:type="dxa"/>
            </w:tcMar>
            <w:vAlign w:val="center"/>
          </w:tcPr>
          <w:p w14:paraId="504FC559" w14:textId="77777777">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1F52B795" w14:textId="77777777">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43599736" w14:textId="77777777">
            <w:pPr>
              <w:keepNext/>
              <w:keepLines/>
              <w:spacing w:after="0" w:line="252" w:lineRule="auto"/>
              <w:jc w:val="left"/>
            </w:pPr>
            <w:r>
              <w:rPr>
                <w:sz w:val="17"/>
              </w:rPr>
              <w:t>Le canal peut précéder le jour ou être modifié par le calendrier.</w:t>
            </w:r>
          </w:p>
        </w:tc>
      </w:tr>
      <w:tr w14:paraId="595791C5" w14:textId="77777777">
        <w:trPr>
          <w:cantSplit/>
        </w:trPr>
        <w:tc>
          <w:tcPr>
            <w:tcW w:w="1800" w:type="dxa"/>
            <w:tcMar>
              <w:top w:w="90" w:type="dxa"/>
              <w:left w:w="120" w:type="dxa"/>
              <w:bottom w:w="90" w:type="dxa"/>
              <w:right w:w="120" w:type="dxa"/>
            </w:tcMar>
            <w:vAlign w:val="center"/>
          </w:tcPr>
          <w:p w14:paraId="3AD14782" w14:textId="77777777">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09B10864" w14:textId="77777777">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679BA6B6" w14:textId="77777777">
            <w:pPr>
              <w:keepNext/>
              <w:keepLines/>
              <w:spacing w:after="0" w:line="252" w:lineRule="auto"/>
              <w:jc w:val="left"/>
            </w:pPr>
            <w:r>
              <w:rPr>
                <w:sz w:val="17"/>
              </w:rPr>
              <w:t>Ces causes possibles ne sont pas observées.</w:t>
            </w:r>
          </w:p>
        </w:tc>
      </w:tr>
    </w:tbl>
    <w:p w14:paraId="0F8023DC" w14:textId="77777777">
      <w:pPr>
        <w:pStyle w:val="Source"/>
      </w:pPr>
      <w:r>
        <w:t>Source : connaissances temporelles et fonctionnelles explicitées dans le notebook final.</w:t>
      </w:r>
    </w:p>
    <w:p w14:paraId="41EC7AF9" w14:textId="77777777">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28368A4F" w14:textId="77777777">
      <w:pPr>
        <w:keepLines/>
      </w:pPr>
      <w:r>
        <w:lastRenderedPageBreak/>
        <w:t>La position de PageValues y encode son statut aval ou proche du résultat, sans prétendre établir que la transaction courante cause directement sa valeur.</w:t>
      </w:r>
    </w:p>
    <w:p w14:paraId="4F64C919" w14:textId="77777777">
      <w:pPr>
        <w:keepNext/>
        <w:keepLines/>
        <w:spacing w:before="100" w:after="40"/>
        <w:jc w:val="center"/>
      </w:pPr>
      <w:r>
        <w:rPr>
          <w:noProof/>
        </w:rPr>
        <w:drawing>
          <wp:inline distT="0" distB="0" distL="0" distR="0" wp14:anchorId="0F7CB620" wp14:editId="3E63B0A8">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68839A19" w14:textId="77777777">
      <w:pPr>
        <w:pStyle w:val="Caption"/>
      </w:pPr>
      <w:r>
        <w:t>Figure 2. DAG de domaine utilisé pour raisonner sur l'identification</w:t>
      </w:r>
    </w:p>
    <w:p w14:paraId="1BBB9F01" w14:textId="77777777">
      <w:pPr>
        <w:pStyle w:val="Source"/>
      </w:pPr>
      <w:r>
        <w:t>Source : construction raisonnée; les flèches pointillées représentent des causes non observées plausibles.</w:t>
      </w:r>
    </w:p>
    <w:p w14:paraId="07CFAEC0" w14:textId="77777777">
      <w:pPr>
        <w:pStyle w:val="Heading2"/>
      </w:pPr>
      <w:r>
        <w:t>3.3 Ensemble d'ajustement proposé</w:t>
      </w:r>
    </w:p>
    <w:p w14:paraId="456FB6DE" w14:textId="77777777">
      <w:pPr>
        <w:pStyle w:val="Equation"/>
      </w:pPr>
      <w:r>
        <w:t>Z = {Month, VisitorType, Region, OperatingSystems, Browser, TrafficType}</w:t>
      </w:r>
    </w:p>
    <w:p w14:paraId="69C7488C" w14:textId="77777777">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1D372443" w14:textId="77777777">
      <w:pPr>
        <w:pStyle w:val="Heading1"/>
      </w:pPr>
      <w:bookmarkStart w:id="3" w:name="_Toc235024099"/>
      <w:r>
        <w:t>4. Découverte causale exploratoire</w:t>
      </w:r>
      <w:bookmarkEnd w:id="3"/>
    </w:p>
    <w:p w14:paraId="6776EC6A" w14:textId="77777777">
      <w:pPr>
        <w:pStyle w:val="Heading2"/>
      </w:pPr>
      <w:r>
        <w:t>4.1 Pourquoi FCI ?</w:t>
      </w:r>
    </w:p>
    <w:p w14:paraId="585882B0" w14:textId="77777777">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569A6E28" w14:textId="77777777">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D80D4A9" w14:textId="77777777">
      <w:pPr>
        <w:pStyle w:val="Heading2"/>
      </w:pPr>
      <w:r>
        <w:lastRenderedPageBreak/>
        <w:t>4.2 Variables, test et contraintes temporelles</w:t>
      </w:r>
    </w:p>
    <w:p w14:paraId="526B5952" w14:textId="77777777">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14:paraId="50E71B3E" w14:textId="77777777">
        <w:trPr>
          <w:cantSplit/>
          <w:tblHeader/>
        </w:trPr>
        <w:tc>
          <w:tcPr>
            <w:tcW w:w="2000" w:type="dxa"/>
            <w:shd w:val="clear" w:color="auto" w:fill="E7E6E6"/>
            <w:tcMar>
              <w:top w:w="90" w:type="dxa"/>
              <w:left w:w="120" w:type="dxa"/>
              <w:bottom w:w="90" w:type="dxa"/>
              <w:right w:w="120" w:type="dxa"/>
            </w:tcMar>
            <w:vAlign w:val="center"/>
          </w:tcPr>
          <w:p w14:paraId="7B4E776D" w14:textId="77777777">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C488C3C" w14:textId="77777777">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5638822F" w14:textId="77777777">
            <w:pPr>
              <w:keepNext/>
              <w:keepLines/>
              <w:spacing w:after="0" w:line="252" w:lineRule="auto"/>
              <w:jc w:val="left"/>
            </w:pPr>
            <w:r>
              <w:rPr>
                <w:b/>
                <w:sz w:val="17"/>
              </w:rPr>
              <w:t>Contrainte</w:t>
            </w:r>
          </w:p>
        </w:tc>
      </w:tr>
      <w:tr w14:paraId="27EB78A8" w14:textId="77777777">
        <w:trPr>
          <w:cantSplit/>
        </w:trPr>
        <w:tc>
          <w:tcPr>
            <w:tcW w:w="2000" w:type="dxa"/>
            <w:tcMar>
              <w:top w:w="90" w:type="dxa"/>
              <w:left w:w="120" w:type="dxa"/>
              <w:bottom w:w="90" w:type="dxa"/>
              <w:right w:w="120" w:type="dxa"/>
            </w:tcMar>
            <w:vAlign w:val="center"/>
          </w:tcPr>
          <w:p w14:paraId="4D0CEF04" w14:textId="77777777">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043A4FF6" w14:textId="77777777">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4C1A4C3C" w14:textId="77777777">
            <w:pPr>
              <w:keepNext/>
              <w:keepLines/>
              <w:spacing w:after="0" w:line="252" w:lineRule="auto"/>
              <w:jc w:val="left"/>
            </w:pPr>
            <w:r>
              <w:rPr>
                <w:sz w:val="17"/>
              </w:rPr>
              <w:t>Niveau temporel 1</w:t>
            </w:r>
          </w:p>
        </w:tc>
      </w:tr>
      <w:tr w14:paraId="3D0CA97F" w14:textId="77777777">
        <w:trPr>
          <w:cantSplit/>
        </w:trPr>
        <w:tc>
          <w:tcPr>
            <w:tcW w:w="2000" w:type="dxa"/>
            <w:shd w:val="clear" w:color="auto" w:fill="F7F7F7"/>
            <w:tcMar>
              <w:top w:w="90" w:type="dxa"/>
              <w:left w:w="120" w:type="dxa"/>
              <w:bottom w:w="90" w:type="dxa"/>
              <w:right w:w="120" w:type="dxa"/>
            </w:tcMar>
            <w:vAlign w:val="center"/>
          </w:tcPr>
          <w:p w14:paraId="0F809D3A" w14:textId="77777777">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541C6587" w14:textId="77777777">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606FD35E" w14:textId="77777777">
            <w:pPr>
              <w:keepNext/>
              <w:keepLines/>
              <w:spacing w:after="0" w:line="252" w:lineRule="auto"/>
              <w:jc w:val="left"/>
            </w:pPr>
            <w:r>
              <w:rPr>
                <w:sz w:val="17"/>
              </w:rPr>
              <w:t>Niveau temporel 1</w:t>
            </w:r>
          </w:p>
        </w:tc>
      </w:tr>
      <w:tr w14:paraId="03AB2A65" w14:textId="77777777">
        <w:trPr>
          <w:cantSplit/>
        </w:trPr>
        <w:tc>
          <w:tcPr>
            <w:tcW w:w="2000" w:type="dxa"/>
            <w:tcMar>
              <w:top w:w="90" w:type="dxa"/>
              <w:left w:w="120" w:type="dxa"/>
              <w:bottom w:w="90" w:type="dxa"/>
              <w:right w:w="120" w:type="dxa"/>
            </w:tcMar>
            <w:vAlign w:val="center"/>
          </w:tcPr>
          <w:p w14:paraId="29CF39A4" w14:textId="77777777">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0DE30D84" w14:textId="77777777">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5A8A38A0" w14:textId="77777777">
            <w:pPr>
              <w:keepNext/>
              <w:keepLines/>
              <w:spacing w:after="0" w:line="252" w:lineRule="auto"/>
              <w:jc w:val="left"/>
            </w:pPr>
            <w:r>
              <w:rPr>
                <w:sz w:val="17"/>
              </w:rPr>
              <w:t>Niveau temporel 1</w:t>
            </w:r>
          </w:p>
        </w:tc>
      </w:tr>
      <w:tr w14:paraId="14F1E99B" w14:textId="77777777">
        <w:trPr>
          <w:cantSplit/>
        </w:trPr>
        <w:tc>
          <w:tcPr>
            <w:tcW w:w="2000" w:type="dxa"/>
            <w:shd w:val="clear" w:color="auto" w:fill="F7F7F7"/>
            <w:tcMar>
              <w:top w:w="90" w:type="dxa"/>
              <w:left w:w="120" w:type="dxa"/>
              <w:bottom w:w="90" w:type="dxa"/>
              <w:right w:w="120" w:type="dxa"/>
            </w:tcMar>
            <w:vAlign w:val="center"/>
          </w:tcPr>
          <w:p w14:paraId="5886171E" w14:textId="77777777">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2B31BD1B" w14:textId="77777777">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2E307B2B" w14:textId="77777777">
            <w:pPr>
              <w:keepNext/>
              <w:keepLines/>
              <w:spacing w:after="0" w:line="252" w:lineRule="auto"/>
              <w:jc w:val="left"/>
            </w:pPr>
            <w:r>
              <w:rPr>
                <w:sz w:val="17"/>
              </w:rPr>
              <w:t>Niveau temporel 2</w:t>
            </w:r>
          </w:p>
        </w:tc>
      </w:tr>
      <w:tr w14:paraId="5C09F902" w14:textId="77777777">
        <w:trPr>
          <w:cantSplit/>
        </w:trPr>
        <w:tc>
          <w:tcPr>
            <w:tcW w:w="2000" w:type="dxa"/>
            <w:tcMar>
              <w:top w:w="90" w:type="dxa"/>
              <w:left w:w="120" w:type="dxa"/>
              <w:bottom w:w="90" w:type="dxa"/>
              <w:right w:w="120" w:type="dxa"/>
            </w:tcMar>
            <w:vAlign w:val="center"/>
          </w:tcPr>
          <w:p w14:paraId="1F9B8FA4" w14:textId="77777777">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2DE24020" w14:textId="77777777">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5BC2D248" w14:textId="77777777">
            <w:pPr>
              <w:keepNext/>
              <w:keepLines/>
              <w:spacing w:after="0" w:line="252" w:lineRule="auto"/>
              <w:jc w:val="left"/>
            </w:pPr>
            <w:r>
              <w:rPr>
                <w:sz w:val="17"/>
              </w:rPr>
              <w:t>Niveau temporel 2</w:t>
            </w:r>
          </w:p>
        </w:tc>
      </w:tr>
      <w:tr w14:paraId="38ECE020" w14:textId="77777777">
        <w:trPr>
          <w:cantSplit/>
        </w:trPr>
        <w:tc>
          <w:tcPr>
            <w:tcW w:w="2000" w:type="dxa"/>
            <w:shd w:val="clear" w:color="auto" w:fill="F7F7F7"/>
            <w:tcMar>
              <w:top w:w="90" w:type="dxa"/>
              <w:left w:w="120" w:type="dxa"/>
              <w:bottom w:w="90" w:type="dxa"/>
              <w:right w:w="120" w:type="dxa"/>
            </w:tcMar>
            <w:vAlign w:val="center"/>
          </w:tcPr>
          <w:p w14:paraId="05A2AE4D" w14:textId="77777777">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4D057B04" w14:textId="77777777">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664D2763" w14:textId="77777777">
            <w:pPr>
              <w:keepNext/>
              <w:keepLines/>
              <w:spacing w:after="0" w:line="252" w:lineRule="auto"/>
              <w:jc w:val="left"/>
            </w:pPr>
            <w:r>
              <w:rPr>
                <w:sz w:val="17"/>
              </w:rPr>
              <w:t>Niveau temporel 3</w:t>
            </w:r>
          </w:p>
        </w:tc>
      </w:tr>
    </w:tbl>
    <w:p w14:paraId="725EF953" w14:textId="77777777">
      <w:pPr>
        <w:pStyle w:val="Source"/>
      </w:pPr>
      <w:r>
        <w:t>Source : paramétrage de la cellule FCI du notebook final; base complète N = 12 330.</w:t>
      </w:r>
    </w:p>
    <w:p w14:paraId="408FCCDA" w14:textId="77777777">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67B2B005" w14:textId="77777777">
      <w:pPr>
        <w:keepNext/>
        <w:keepLines/>
        <w:spacing w:before="100" w:after="40"/>
        <w:jc w:val="center"/>
      </w:pPr>
      <w:r>
        <w:rPr>
          <w:noProof/>
        </w:rPr>
        <w:drawing>
          <wp:inline distT="0" distB="0" distL="0" distR="0" wp14:anchorId="117CFE5E" wp14:editId="03370DC1">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4D178E13" w14:textId="77777777">
      <w:pPr>
        <w:pStyle w:val="Caption"/>
      </w:pPr>
      <w:r>
        <w:t>Figure 3. PAG exploratoire obtenu avec FCI</w:t>
      </w:r>
    </w:p>
    <w:p w14:paraId="1BB25C13" w14:textId="77777777">
      <w:pPr>
        <w:pStyle w:val="Source"/>
      </w:pPr>
      <w:r>
        <w:t>Source : FCI sur la base complète, test G², α = 0,01, profondeur 2, chemin maximal 3. Notation : o—o indéterminée; o→ partielle; → imposée.</w:t>
      </w:r>
    </w:p>
    <w:p w14:paraId="24831155" w14:textId="77777777">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14:paraId="78F62AA6" w14:textId="77777777">
        <w:trPr>
          <w:cantSplit/>
          <w:tblHeader/>
        </w:trPr>
        <w:tc>
          <w:tcPr>
            <w:tcW w:w="1300" w:type="dxa"/>
            <w:shd w:val="clear" w:color="auto" w:fill="E7E6E6"/>
            <w:tcMar>
              <w:top w:w="90" w:type="dxa"/>
              <w:left w:w="120" w:type="dxa"/>
              <w:bottom w:w="90" w:type="dxa"/>
              <w:right w:w="120" w:type="dxa"/>
            </w:tcMar>
            <w:vAlign w:val="center"/>
          </w:tcPr>
          <w:p w14:paraId="533CA7D8" w14:textId="77777777">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58FFEBA0" w14:textId="77777777">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6CFF3103" w14:textId="77777777">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150842C5" w14:textId="77777777">
            <w:pPr>
              <w:keepNext/>
              <w:keepLines/>
              <w:spacing w:after="0" w:line="252" w:lineRule="auto"/>
              <w:jc w:val="left"/>
            </w:pPr>
            <w:r>
              <w:rPr>
                <w:b/>
                <w:sz w:val="17"/>
              </w:rPr>
              <w:t>Voisins de Weekend</w:t>
            </w:r>
          </w:p>
        </w:tc>
      </w:tr>
      <w:tr w14:paraId="7D1AA512" w14:textId="77777777">
        <w:trPr>
          <w:cantSplit/>
        </w:trPr>
        <w:tc>
          <w:tcPr>
            <w:tcW w:w="1300" w:type="dxa"/>
            <w:tcMar>
              <w:top w:w="90" w:type="dxa"/>
              <w:left w:w="120" w:type="dxa"/>
              <w:bottom w:w="90" w:type="dxa"/>
              <w:right w:w="120" w:type="dxa"/>
            </w:tcMar>
            <w:vAlign w:val="center"/>
          </w:tcPr>
          <w:p w14:paraId="16CF0D28" w14:textId="77777777">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20386BE9" w14:textId="77777777">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2F907BD9" w14:textId="77777777">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4EC0222" w14:textId="77777777">
            <w:pPr>
              <w:keepNext/>
              <w:keepLines/>
              <w:spacing w:after="0" w:line="252" w:lineRule="auto"/>
              <w:jc w:val="left"/>
            </w:pPr>
            <w:r>
              <w:rPr>
                <w:sz w:val="17"/>
              </w:rPr>
              <w:t>JourSpecial; SourceTrafic</w:t>
            </w:r>
          </w:p>
        </w:tc>
      </w:tr>
      <w:tr w14:paraId="689B4EC1" w14:textId="77777777">
        <w:trPr>
          <w:cantSplit/>
        </w:trPr>
        <w:tc>
          <w:tcPr>
            <w:tcW w:w="1300" w:type="dxa"/>
            <w:shd w:val="clear" w:color="auto" w:fill="F7F7F7"/>
            <w:tcMar>
              <w:top w:w="90" w:type="dxa"/>
              <w:left w:w="120" w:type="dxa"/>
              <w:bottom w:w="90" w:type="dxa"/>
              <w:right w:w="120" w:type="dxa"/>
            </w:tcMar>
            <w:vAlign w:val="center"/>
          </w:tcPr>
          <w:p w14:paraId="023B91C3" w14:textId="77777777">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4253A0CF" w14:textId="77777777">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1D4CFD2B" w14:textId="77777777">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2D992E8B" w14:textId="77777777">
            <w:pPr>
              <w:keepNext/>
              <w:keepLines/>
              <w:spacing w:after="0" w:line="252" w:lineRule="auto"/>
              <w:jc w:val="left"/>
            </w:pPr>
            <w:r>
              <w:rPr>
                <w:sz w:val="17"/>
              </w:rPr>
              <w:t>JourSpecial; NouveauVisiteur; SourceTrafic</w:t>
            </w:r>
          </w:p>
        </w:tc>
      </w:tr>
      <w:tr w14:paraId="684FBB91" w14:textId="77777777">
        <w:trPr>
          <w:cantSplit/>
        </w:trPr>
        <w:tc>
          <w:tcPr>
            <w:tcW w:w="1300" w:type="dxa"/>
            <w:tcMar>
              <w:top w:w="90" w:type="dxa"/>
              <w:left w:w="120" w:type="dxa"/>
              <w:bottom w:w="90" w:type="dxa"/>
              <w:right w:w="120" w:type="dxa"/>
            </w:tcMar>
            <w:vAlign w:val="center"/>
          </w:tcPr>
          <w:p w14:paraId="29292E29" w14:textId="77777777">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2BDCB1E3" w14:textId="77777777">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4CA126E2" w14:textId="77777777">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D5D88A3" w14:textId="77777777">
            <w:pPr>
              <w:keepNext/>
              <w:keepLines/>
              <w:spacing w:after="0" w:line="252" w:lineRule="auto"/>
              <w:jc w:val="left"/>
            </w:pPr>
            <w:r>
              <w:rPr>
                <w:sz w:val="17"/>
              </w:rPr>
              <w:t>JourSpecial; NouveauVisiteur; SourceTrafic</w:t>
            </w:r>
          </w:p>
        </w:tc>
      </w:tr>
    </w:tbl>
    <w:p w14:paraId="55DB8829" w14:textId="77777777">
      <w:pPr>
        <w:pStyle w:val="Source"/>
      </w:pPr>
      <w:r>
        <w:t>Source : répétition de FCI aux seuils 0,1 %, 1 % et 5 %.</w:t>
      </w:r>
    </w:p>
    <w:p w14:paraId="6203689B" w14:textId="77777777">
      <w:pPr>
        <w:pStyle w:val="Heading2"/>
      </w:pPr>
      <w:r>
        <w:t>4.3 Interprétation du PAG</w:t>
      </w:r>
    </w:p>
    <w:p w14:paraId="37D0E8BD" w14:textId="77777777">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647D59BF" w14:textId="77777777">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37E8F258" w14:textId="77777777">
      <w:pPr>
        <w:pStyle w:val="Heading1"/>
      </w:pPr>
      <w:bookmarkStart w:id="4" w:name="_Toc235024100"/>
      <w:r>
        <w:t>5. Cadre causal et stratégie d'identification</w:t>
      </w:r>
      <w:bookmarkEnd w:id="4"/>
    </w:p>
    <w:p w14:paraId="7EA5DA67" w14:textId="77777777">
      <w:pPr>
        <w:pStyle w:val="Heading2"/>
      </w:pPr>
      <w:r>
        <w:t>5.1 Pourquoi combiner Pearl et Rubin ?</w:t>
      </w:r>
    </w:p>
    <w:p w14:paraId="3BB8A9B7" w14:textId="77777777">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3653948B" w14:textId="77777777">
      <w:pPr>
        <w:pStyle w:val="Heading2"/>
      </w:pPr>
      <w:r>
        <w:t>5.2 Résultats potentiels et estimand</w:t>
      </w:r>
    </w:p>
    <w:p w14:paraId="3F7661C7" w14:textId="77777777">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3B91DB7F" w14:textId="77777777">
      <w:pPr>
        <w:pStyle w:val="Equation"/>
      </w:pPr>
      <w:r>
        <w:t>τ₀ = E[Y(1) − Y(0) | SpecialDay = 0]</w:t>
      </w:r>
    </w:p>
    <w:p w14:paraId="659E668F" w14:textId="77777777">
      <w:r>
        <w:t>Puisque Y est binaire, τ₀ est une différence moyenne de probabilités. Une valeur de 0,015 correspond à 1,5 point de pourcentage, et non à 1,5 % de croissance relative.</w:t>
      </w:r>
    </w:p>
    <w:p w14:paraId="08D16A79" w14:textId="77777777">
      <w:pPr>
        <w:pStyle w:val="Heading2"/>
      </w:pPr>
      <w:r>
        <w:t>5.3 Hypothèses</w:t>
      </w:r>
    </w:p>
    <w:p w14:paraId="64EE545C" w14:textId="77777777">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2627344D" w14:textId="77777777">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90E3082" w14:textId="77777777">
      <w:pPr>
        <w:pStyle w:val="ListParagraph"/>
        <w:keepLines/>
        <w:numPr>
          <w:ilvl w:val="0"/>
          <w:numId w:val="11"/>
        </w:numPr>
        <w:jc w:val="left"/>
      </w:pPr>
      <w:r>
        <w:rPr>
          <w:b/>
        </w:rPr>
        <w:t xml:space="preserve">Positivité : </w:t>
      </w:r>
      <w:r>
        <w:t>pour presque toute valeur z présente dans la population cible, 0 &lt; P(T=1 | Z=z, SpecialDay=0) &lt; 1.</w:t>
      </w:r>
    </w:p>
    <w:p w14:paraId="4067D074" w14:textId="77777777">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69B4DB30" w14:textId="77777777">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A49B39A" w14:textId="77777777">
      <w:pPr>
        <w:pStyle w:val="Equation"/>
        <w:spacing w:after="80"/>
      </w:pPr>
      <w:r>
        <w:t xml:space="preserve">(Y(1), Y(0)) </w:t>
      </w:r>
      <w:r>
        <w:t>⟂</w:t>
      </w:r>
      <w:r>
        <w:t xml:space="preserve"> T | Z, SpecialDay = 0</w:t>
      </w:r>
    </w:p>
    <w:p w14:paraId="587BFBC0" w14:textId="77777777">
      <w:pPr>
        <w:pStyle w:val="Equation"/>
      </w:pPr>
      <w:r>
        <w:t>0 &lt; P(T = 1 | Z, SpecialDay = 0) &lt; 1</w:t>
      </w:r>
    </w:p>
    <w:p w14:paraId="2775E8AA" w14:textId="77777777">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716B9B85" w14:textId="77777777">
      <w:pPr>
        <w:pStyle w:val="Heading2"/>
      </w:pPr>
      <w:r>
        <w:t>5.4 Formule d'identification</w:t>
      </w:r>
    </w:p>
    <w:p w14:paraId="483A2E62" w14:textId="77777777">
      <w:r>
        <w:t>Si Z suffit à bloquer les chemins de porte arrière et si les hypothèses précédentes sont valides, l'effet est identifié par standardisation sur la distribution de Z dans la population restreinte. En posant mₜ(z) = E[Y | T=t, Z=z, SpecialDay=0] :</w:t>
      </w:r>
    </w:p>
    <w:p w14:paraId="7B12432F" w14:textId="77777777">
      <w:pPr>
        <w:pStyle w:val="Equation"/>
      </w:pPr>
      <w:r>
        <w:t>τ₀ = E[m₁(Z) − m₀(Z) | SpecialDay = 0]</w:t>
      </w:r>
    </w:p>
    <w:p w14:paraId="06A85D43" w14:textId="77777777">
      <w:pPr>
        <w:pStyle w:val="Equation"/>
      </w:pPr>
      <w:r>
        <w:t>P(Y=1 | do(T=t), SpecialDay=0)</w:t>
      </w:r>
    </w:p>
    <w:p w14:paraId="040E7822" w14:textId="77777777">
      <w:pPr>
        <w:pStyle w:val="Equation"/>
      </w:pPr>
      <w:r>
        <w:t>= Σ_z P(Y=1 | T=t, Z=z, SpecialDay=0) P(Z=z | SpecialDay=0)</w:t>
      </w:r>
    </w:p>
    <w:p w14:paraId="3A236AF2" w14:textId="77777777">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7BCAA166" w14:textId="77777777">
      <w:pPr>
        <w:pStyle w:val="Heading1"/>
      </w:pPr>
      <w:bookmarkStart w:id="5" w:name="_Toc235024101"/>
      <w:r>
        <w:t>6. Estimation et diagnostics</w:t>
      </w:r>
      <w:bookmarkEnd w:id="5"/>
    </w:p>
    <w:p w14:paraId="279EBDF1" w14:textId="77777777">
      <w:pPr>
        <w:pStyle w:val="Heading2"/>
      </w:pPr>
      <w:r>
        <w:t>6.1 Modèles de nuisance et prédictions croisées</w:t>
      </w:r>
    </w:p>
    <w:p w14:paraId="0FE99202" w14:textId="77777777">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0E9306D5" w14:textId="77777777">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3979E462" w14:textId="77777777">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14:paraId="2AD78060" w14:textId="77777777">
        <w:trPr>
          <w:cantSplit/>
          <w:tblHeader/>
        </w:trPr>
        <w:tc>
          <w:tcPr>
            <w:tcW w:w="1600" w:type="dxa"/>
            <w:shd w:val="clear" w:color="auto" w:fill="E7E6E6"/>
            <w:tcMar>
              <w:top w:w="90" w:type="dxa"/>
              <w:left w:w="120" w:type="dxa"/>
              <w:bottom w:w="90" w:type="dxa"/>
              <w:right w:w="120" w:type="dxa"/>
            </w:tcMar>
            <w:vAlign w:val="center"/>
          </w:tcPr>
          <w:p w14:paraId="143B56A0" w14:textId="77777777">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4376F57E" w14:textId="77777777">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45B4B38C" w14:textId="77777777">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4058D45B" w14:textId="77777777">
            <w:pPr>
              <w:keepNext/>
              <w:keepLines/>
              <w:spacing w:after="0" w:line="252" w:lineRule="auto"/>
              <w:jc w:val="left"/>
            </w:pPr>
            <w:r>
              <w:rPr>
                <w:b/>
                <w:sz w:val="17"/>
              </w:rPr>
              <w:t>IC à 95 %</w:t>
            </w:r>
          </w:p>
        </w:tc>
      </w:tr>
      <w:tr w14:paraId="510F5D97" w14:textId="77777777">
        <w:trPr>
          <w:cantSplit/>
        </w:trPr>
        <w:tc>
          <w:tcPr>
            <w:tcW w:w="1600" w:type="dxa"/>
            <w:tcMar>
              <w:top w:w="90" w:type="dxa"/>
              <w:left w:w="120" w:type="dxa"/>
              <w:bottom w:w="90" w:type="dxa"/>
              <w:right w:w="120" w:type="dxa"/>
            </w:tcMar>
            <w:vAlign w:val="center"/>
          </w:tcPr>
          <w:p w14:paraId="2864AA22" w14:textId="77777777">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38DFAA3A" w14:textId="77777777">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77923EAB" w14:textId="77777777">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407B30E3" w14:textId="77777777">
            <w:pPr>
              <w:keepNext/>
              <w:keepLines/>
              <w:spacing w:after="0" w:line="252" w:lineRule="auto"/>
              <w:jc w:val="left"/>
            </w:pPr>
            <w:r>
              <w:rPr>
                <w:sz w:val="17"/>
              </w:rPr>
              <w:t>Approximation normale</w:t>
            </w:r>
          </w:p>
        </w:tc>
      </w:tr>
      <w:tr w14:paraId="5E8A0C21" w14:textId="77777777">
        <w:trPr>
          <w:cantSplit/>
        </w:trPr>
        <w:tc>
          <w:tcPr>
            <w:tcW w:w="1600" w:type="dxa"/>
            <w:shd w:val="clear" w:color="auto" w:fill="F7F7F7"/>
            <w:tcMar>
              <w:top w:w="90" w:type="dxa"/>
              <w:left w:w="120" w:type="dxa"/>
              <w:bottom w:w="90" w:type="dxa"/>
              <w:right w:w="120" w:type="dxa"/>
            </w:tcMar>
            <w:vAlign w:val="center"/>
          </w:tcPr>
          <w:p w14:paraId="55863DA0" w14:textId="77777777">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19F6FFD0" w14:textId="77777777">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33C09C7D" w14:textId="77777777">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7F403DA6" w14:textId="77777777">
            <w:pPr>
              <w:keepNext/>
              <w:keepLines/>
              <w:spacing w:after="0" w:line="252" w:lineRule="auto"/>
              <w:jc w:val="left"/>
            </w:pPr>
            <w:r>
              <w:rPr>
                <w:sz w:val="17"/>
              </w:rPr>
              <w:t>Bootstrap percentile, 500 réplications</w:t>
            </w:r>
          </w:p>
        </w:tc>
      </w:tr>
      <w:tr w14:paraId="0A47E29B" w14:textId="77777777">
        <w:trPr>
          <w:cantSplit/>
        </w:trPr>
        <w:tc>
          <w:tcPr>
            <w:tcW w:w="1600" w:type="dxa"/>
            <w:tcMar>
              <w:top w:w="90" w:type="dxa"/>
              <w:left w:w="120" w:type="dxa"/>
              <w:bottom w:w="90" w:type="dxa"/>
              <w:right w:w="120" w:type="dxa"/>
            </w:tcMar>
            <w:vAlign w:val="center"/>
          </w:tcPr>
          <w:p w14:paraId="71002D85" w14:textId="77777777">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2EDF37DC" w14:textId="77777777">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446EC62B" w14:textId="77777777">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68B531E4" w14:textId="77777777">
            <w:pPr>
              <w:keepNext/>
              <w:keepLines/>
              <w:spacing w:after="0" w:line="252" w:lineRule="auto"/>
              <w:jc w:val="left"/>
            </w:pPr>
            <w:r>
              <w:rPr>
                <w:sz w:val="17"/>
              </w:rPr>
              <w:t>Fonction d'influence</w:t>
            </w:r>
          </w:p>
        </w:tc>
      </w:tr>
      <w:tr w14:paraId="7AC62D76" w14:textId="77777777">
        <w:trPr>
          <w:cantSplit/>
        </w:trPr>
        <w:tc>
          <w:tcPr>
            <w:tcW w:w="1600" w:type="dxa"/>
            <w:shd w:val="clear" w:color="auto" w:fill="F7F7F7"/>
            <w:tcMar>
              <w:top w:w="90" w:type="dxa"/>
              <w:left w:w="120" w:type="dxa"/>
              <w:bottom w:w="90" w:type="dxa"/>
              <w:right w:w="120" w:type="dxa"/>
            </w:tcMar>
            <w:vAlign w:val="center"/>
          </w:tcPr>
          <w:p w14:paraId="02CD0192" w14:textId="77777777">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0DC1E66E" w14:textId="77777777">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62B1B9C4" w14:textId="77777777">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573080B3" w14:textId="77777777">
            <w:pPr>
              <w:keepNext/>
              <w:keepLines/>
              <w:spacing w:after="0" w:line="252" w:lineRule="auto"/>
              <w:jc w:val="left"/>
            </w:pPr>
            <w:r>
              <w:rPr>
                <w:sz w:val="17"/>
              </w:rPr>
              <w:t>Fonction d'influence</w:t>
            </w:r>
          </w:p>
        </w:tc>
      </w:tr>
    </w:tbl>
    <w:p w14:paraId="1FCB114A" w14:textId="77777777">
      <w:pPr>
        <w:pStyle w:val="Source"/>
      </w:pPr>
      <w:r>
        <w:t>Source : implémentation du notebook final.</w:t>
      </w:r>
    </w:p>
    <w:p w14:paraId="4C62FC74" w14:textId="77777777">
      <w:pPr>
        <w:pStyle w:val="Heading2"/>
      </w:pPr>
      <w:r>
        <w:t>6.2 Formules des estimateurs</w:t>
      </w:r>
    </w:p>
    <w:p w14:paraId="0C7BCD4E" w14:textId="77777777">
      <w:r>
        <w:t>La standardisation compare, pour chaque profil observé, les prédictions du même modèle sous weekend et sous semaine, puis moyenne les contrastes :</w:t>
      </w:r>
    </w:p>
    <w:p w14:paraId="047FD0AD" w14:textId="77777777">
      <w:pPr>
        <w:pStyle w:val="Equation"/>
      </w:pPr>
      <w:r>
        <w:t>τ̂ (standardisation) = (1/n) Σ</w:t>
      </w:r>
      <w:r>
        <w:t>ᵢ</w:t>
      </w:r>
      <w:r>
        <w:t xml:space="preserve"> [m̂₁(Z</w:t>
      </w:r>
      <w:r>
        <w:t>ᵢ</w:t>
      </w:r>
      <w:r>
        <w:t>) − m̂₀(Z</w:t>
      </w:r>
      <w:r>
        <w:t>ᵢ</w:t>
      </w:r>
      <w:r>
        <w:t>)]</w:t>
      </w:r>
    </w:p>
    <w:p w14:paraId="36753E30" w14:textId="77777777">
      <w:r>
        <w:t>L'IPW de Hájek donne davantage de poids aux observations dont l'exposition était moins probable compte tenu de Z. La normalisation séparée des deux groupes stabilise les moyennes :</w:t>
      </w:r>
    </w:p>
    <w:p w14:paraId="4ADF79E6" w14:textId="77777777">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7A544AD0" w14:textId="77777777">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0EC6FABD" w14:textId="77777777">
      <w:r>
        <w:t>L'AIPW ajoute aux prédictions de résultat une correction pondérée par les résidus observés. Avec des prédictions croisées, l'estimateur utilisé est :</w:t>
      </w:r>
    </w:p>
    <w:p w14:paraId="028DCACE" w14:textId="77777777">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4A9DF69" w14:textId="77777777">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53EC76D1" w14:textId="77777777">
      <w:pPr>
        <w:pStyle w:val="Heading2"/>
      </w:pPr>
      <w:r>
        <w:lastRenderedPageBreak/>
        <w:t>6.3 Incertitude</w:t>
      </w:r>
    </w:p>
    <w:p w14:paraId="31971F32" w14:textId="77777777">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0D9490E4" w14:textId="77777777">
      <w:pPr>
        <w:pStyle w:val="Heading2"/>
      </w:pPr>
      <w:r>
        <w:t>6.4 Recouvrement des scores</w:t>
      </w:r>
    </w:p>
    <w:p w14:paraId="1787387F" w14:textId="77777777">
      <w:pPr>
        <w:keepNext/>
        <w:keepLines/>
        <w:spacing w:before="100" w:after="40"/>
        <w:jc w:val="center"/>
      </w:pPr>
      <w:r>
        <w:rPr>
          <w:noProof/>
        </w:rPr>
        <w:drawing>
          <wp:inline distT="0" distB="0" distL="0" distR="0" wp14:anchorId="72176207" wp14:editId="06189A3D">
            <wp:extent cx="5440680" cy="2817765"/>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6500"/>
                    <a:stretch>
                      <a:fillRect/>
                    </a:stretch>
                  </pic:blipFill>
                  <pic:spPr>
                    <a:xfrm>
                      <a:off x="0" y="0"/>
                      <a:ext cx="5440680" cy="2817765"/>
                    </a:xfrm>
                    <a:prstGeom prst="rect">
                      <a:avLst/>
                    </a:prstGeom>
                  </pic:spPr>
                </pic:pic>
              </a:graphicData>
            </a:graphic>
          </wp:inline>
        </w:drawing>
      </w:r>
    </w:p>
    <w:p w14:paraId="398F266C" w14:textId="77777777">
      <w:pPr>
        <w:pStyle w:val="Caption"/>
      </w:pPr>
      <w:r>
        <w:t>Figure 4. Recouvrement des scores de propension</w:t>
      </w:r>
    </w:p>
    <w:p w14:paraId="43C1BF3F" w14:textId="77777777">
      <w:pPr>
        <w:pStyle w:val="Source"/>
      </w:pPr>
      <w:r>
        <w:t>Source : prédictions croisées du modèle de traitement dans la population SpecialDay=0.</w:t>
      </w:r>
    </w:p>
    <w:p w14:paraId="7AD2AEB2" w14:textId="77777777">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14:paraId="6734E2D0" w14:textId="77777777">
        <w:trPr>
          <w:cantSplit/>
          <w:tblHeader/>
        </w:trPr>
        <w:tc>
          <w:tcPr>
            <w:tcW w:w="6500" w:type="dxa"/>
            <w:shd w:val="clear" w:color="auto" w:fill="E7E6E6"/>
            <w:tcMar>
              <w:top w:w="90" w:type="dxa"/>
              <w:left w:w="120" w:type="dxa"/>
              <w:bottom w:w="90" w:type="dxa"/>
              <w:right w:w="120" w:type="dxa"/>
            </w:tcMar>
            <w:vAlign w:val="center"/>
          </w:tcPr>
          <w:p w14:paraId="7F84E88F" w14:textId="77777777">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28DAA691" w14:textId="77777777">
            <w:pPr>
              <w:keepNext/>
              <w:keepLines/>
              <w:spacing w:after="0" w:line="252" w:lineRule="auto"/>
              <w:jc w:val="right"/>
            </w:pPr>
            <w:r>
              <w:rPr>
                <w:b/>
                <w:sz w:val="18"/>
              </w:rPr>
              <w:t>Valeur</w:t>
            </w:r>
          </w:p>
        </w:tc>
      </w:tr>
      <w:tr w14:paraId="1B2A0911" w14:textId="77777777">
        <w:trPr>
          <w:cantSplit/>
        </w:trPr>
        <w:tc>
          <w:tcPr>
            <w:tcW w:w="6500" w:type="dxa"/>
            <w:tcMar>
              <w:top w:w="90" w:type="dxa"/>
              <w:left w:w="120" w:type="dxa"/>
              <w:bottom w:w="90" w:type="dxa"/>
              <w:right w:w="120" w:type="dxa"/>
            </w:tcMar>
            <w:vAlign w:val="center"/>
          </w:tcPr>
          <w:p w14:paraId="72EE331B" w14:textId="77777777">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372B8214" w14:textId="77777777">
            <w:pPr>
              <w:keepNext/>
              <w:keepLines/>
              <w:spacing w:after="0" w:line="252" w:lineRule="auto"/>
              <w:jc w:val="right"/>
            </w:pPr>
            <w:r>
              <w:rPr>
                <w:sz w:val="18"/>
              </w:rPr>
              <w:t>0,048</w:t>
            </w:r>
          </w:p>
        </w:tc>
      </w:tr>
      <w:tr w14:paraId="063BB7F6" w14:textId="77777777">
        <w:trPr>
          <w:cantSplit/>
        </w:trPr>
        <w:tc>
          <w:tcPr>
            <w:tcW w:w="6500" w:type="dxa"/>
            <w:shd w:val="clear" w:color="auto" w:fill="F7F7F7"/>
            <w:tcMar>
              <w:top w:w="90" w:type="dxa"/>
              <w:left w:w="120" w:type="dxa"/>
              <w:bottom w:w="90" w:type="dxa"/>
              <w:right w:w="120" w:type="dxa"/>
            </w:tcMar>
            <w:vAlign w:val="center"/>
          </w:tcPr>
          <w:p w14:paraId="36AA95D0" w14:textId="77777777">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49420EB9" w14:textId="77777777">
            <w:pPr>
              <w:keepNext/>
              <w:keepLines/>
              <w:spacing w:after="0" w:line="252" w:lineRule="auto"/>
              <w:jc w:val="right"/>
            </w:pPr>
            <w:r>
              <w:rPr>
                <w:sz w:val="18"/>
              </w:rPr>
              <w:t>0,229</w:t>
            </w:r>
          </w:p>
        </w:tc>
      </w:tr>
      <w:tr w14:paraId="069F4130" w14:textId="77777777">
        <w:trPr>
          <w:cantSplit/>
        </w:trPr>
        <w:tc>
          <w:tcPr>
            <w:tcW w:w="6500" w:type="dxa"/>
            <w:tcMar>
              <w:top w:w="90" w:type="dxa"/>
              <w:left w:w="120" w:type="dxa"/>
              <w:bottom w:w="90" w:type="dxa"/>
              <w:right w:w="120" w:type="dxa"/>
            </w:tcMar>
            <w:vAlign w:val="center"/>
          </w:tcPr>
          <w:p w14:paraId="3C0D094C" w14:textId="77777777">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5B2A7389" w14:textId="77777777">
            <w:pPr>
              <w:keepNext/>
              <w:keepLines/>
              <w:spacing w:after="0" w:line="252" w:lineRule="auto"/>
              <w:jc w:val="right"/>
            </w:pPr>
            <w:r>
              <w:rPr>
                <w:sz w:val="18"/>
              </w:rPr>
              <w:t>0,919</w:t>
            </w:r>
          </w:p>
        </w:tc>
      </w:tr>
      <w:tr w14:paraId="515DA927" w14:textId="77777777">
        <w:trPr>
          <w:cantSplit/>
        </w:trPr>
        <w:tc>
          <w:tcPr>
            <w:tcW w:w="6500" w:type="dxa"/>
            <w:shd w:val="clear" w:color="auto" w:fill="F7F7F7"/>
            <w:tcMar>
              <w:top w:w="90" w:type="dxa"/>
              <w:left w:w="120" w:type="dxa"/>
              <w:bottom w:w="90" w:type="dxa"/>
              <w:right w:w="120" w:type="dxa"/>
            </w:tcMar>
            <w:vAlign w:val="center"/>
          </w:tcPr>
          <w:p w14:paraId="26948FED" w14:textId="77777777">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2C62477F" w14:textId="77777777">
            <w:pPr>
              <w:keepNext/>
              <w:keepLines/>
              <w:spacing w:after="0" w:line="252" w:lineRule="auto"/>
              <w:jc w:val="right"/>
            </w:pPr>
            <w:r>
              <w:rPr>
                <w:sz w:val="18"/>
              </w:rPr>
              <w:t>9</w:t>
            </w:r>
          </w:p>
        </w:tc>
      </w:tr>
      <w:tr w14:paraId="3DFEF224" w14:textId="77777777">
        <w:trPr>
          <w:cantSplit/>
        </w:trPr>
        <w:tc>
          <w:tcPr>
            <w:tcW w:w="6500" w:type="dxa"/>
            <w:tcMar>
              <w:top w:w="90" w:type="dxa"/>
              <w:left w:w="120" w:type="dxa"/>
              <w:bottom w:w="90" w:type="dxa"/>
              <w:right w:w="120" w:type="dxa"/>
            </w:tcMar>
            <w:vAlign w:val="center"/>
          </w:tcPr>
          <w:p w14:paraId="112F2B17" w14:textId="77777777">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5994D6BD" w14:textId="77777777">
            <w:pPr>
              <w:keepNext/>
              <w:keepLines/>
              <w:spacing w:after="0" w:line="252" w:lineRule="auto"/>
              <w:jc w:val="right"/>
            </w:pPr>
            <w:r>
              <w:rPr>
                <w:sz w:val="18"/>
              </w:rPr>
              <w:t>7,274</w:t>
            </w:r>
          </w:p>
        </w:tc>
      </w:tr>
      <w:tr w14:paraId="4B43C4DB" w14:textId="77777777">
        <w:trPr>
          <w:cantSplit/>
        </w:trPr>
        <w:tc>
          <w:tcPr>
            <w:tcW w:w="6500" w:type="dxa"/>
            <w:shd w:val="clear" w:color="auto" w:fill="F7F7F7"/>
            <w:tcMar>
              <w:top w:w="90" w:type="dxa"/>
              <w:left w:w="120" w:type="dxa"/>
              <w:bottom w:w="90" w:type="dxa"/>
              <w:right w:w="120" w:type="dxa"/>
            </w:tcMar>
            <w:vAlign w:val="center"/>
          </w:tcPr>
          <w:p w14:paraId="789C34FA" w14:textId="77777777">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1BA95C39" w14:textId="77777777">
            <w:pPr>
              <w:keepNext/>
              <w:keepLines/>
              <w:spacing w:after="0" w:line="252" w:lineRule="auto"/>
              <w:jc w:val="right"/>
            </w:pPr>
            <w:r>
              <w:rPr>
                <w:sz w:val="18"/>
              </w:rPr>
              <w:t>8 181,525</w:t>
            </w:r>
          </w:p>
        </w:tc>
      </w:tr>
      <w:tr w14:paraId="3A50CEB5" w14:textId="77777777">
        <w:trPr>
          <w:cantSplit/>
        </w:trPr>
        <w:tc>
          <w:tcPr>
            <w:tcW w:w="6500" w:type="dxa"/>
            <w:tcMar>
              <w:top w:w="90" w:type="dxa"/>
              <w:left w:w="120" w:type="dxa"/>
              <w:bottom w:w="90" w:type="dxa"/>
              <w:right w:w="120" w:type="dxa"/>
            </w:tcMar>
            <w:vAlign w:val="center"/>
          </w:tcPr>
          <w:p w14:paraId="01E3F0B6" w14:textId="77777777">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0961FDB" w14:textId="77777777">
            <w:pPr>
              <w:keepNext/>
              <w:keepLines/>
              <w:spacing w:after="0" w:line="252" w:lineRule="auto"/>
              <w:jc w:val="right"/>
            </w:pPr>
            <w:r>
              <w:rPr>
                <w:sz w:val="18"/>
              </w:rPr>
              <w:t>2 411,922</w:t>
            </w:r>
          </w:p>
        </w:tc>
      </w:tr>
    </w:tbl>
    <w:p w14:paraId="4916BE6F" w14:textId="77777777">
      <w:pPr>
        <w:pStyle w:val="Source"/>
      </w:pPr>
      <w:r>
        <w:t>Source : calculs réalisés à partir des scores de propension croisés.</w:t>
      </w:r>
    </w:p>
    <w:p w14:paraId="08948983" w14:textId="77777777">
      <w:r>
        <w:t xml:space="preserve">Les distributions se chevauchent sur l'essentiel du support. Neuf observations seulement se situent hors de [0,05 ; 0,95], et le poids stabilisé maximal reste inférieur à 7,3. Les tailles </w:t>
      </w:r>
      <w:r>
        <w:lastRenderedPageBreak/>
        <w:t>effectives conservent environ 97,7 % de l'effectif de semaine et 89,1 % de l'effectif de weekend. Ces diagnostics soutiennent la positivité mesurée dans la population restreinte, sans prouver la positivité pour des combinaisons non observées de covariables.</w:t>
      </w:r>
    </w:p>
    <w:p w14:paraId="456C0A41" w14:textId="77777777">
      <w:pPr>
        <w:pStyle w:val="Heading2"/>
      </w:pPr>
      <w:r>
        <w:t>6.5 Équilibre des covariables</w:t>
      </w:r>
    </w:p>
    <w:p w14:paraId="5CD24B22" w14:textId="77777777">
      <w:pPr>
        <w:keepNext/>
        <w:keepLines/>
        <w:spacing w:before="100" w:after="40"/>
        <w:jc w:val="center"/>
      </w:pPr>
      <w:r>
        <w:rPr>
          <w:noProof/>
        </w:rPr>
        <w:drawing>
          <wp:inline distT="0" distB="0" distL="0" distR="0" wp14:anchorId="78E1CBBB" wp14:editId="0951C045">
            <wp:extent cx="4434840" cy="3681680"/>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500"/>
                    <a:stretch>
                      <a:fillRect/>
                    </a:stretch>
                  </pic:blipFill>
                  <pic:spPr>
                    <a:xfrm>
                      <a:off x="0" y="0"/>
                      <a:ext cx="4434840" cy="3681680"/>
                    </a:xfrm>
                    <a:prstGeom prst="rect">
                      <a:avLst/>
                    </a:prstGeom>
                  </pic:spPr>
                </pic:pic>
              </a:graphicData>
            </a:graphic>
          </wp:inline>
        </w:drawing>
      </w:r>
    </w:p>
    <w:p w14:paraId="0A994A4C" w14:textId="77777777">
      <w:pPr>
        <w:pStyle w:val="Caption"/>
      </w:pPr>
      <w:r>
        <w:t>Figure 5. Équilibre avant et après pondération IPW</w:t>
      </w:r>
    </w:p>
    <w:p w14:paraId="35C3EB26" w14:textId="77777777">
      <w:pPr>
        <w:pStyle w:val="Source"/>
      </w:pPr>
      <w:r>
        <w:t>Source : différences moyennes standardisées des indicatrices de covariables.</w:t>
      </w:r>
    </w:p>
    <w:p w14:paraId="3820EAB8" w14:textId="77777777">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61D96D7B" w14:textId="77777777">
      <w:pPr>
        <w:pStyle w:val="Heading1"/>
      </w:pPr>
      <w:bookmarkStart w:id="6" w:name="_Toc235024102"/>
      <w:r>
        <w:lastRenderedPageBreak/>
        <w:t>7. Résultats et analyses de robustesse</w:t>
      </w:r>
      <w:bookmarkEnd w:id="6"/>
    </w:p>
    <w:p w14:paraId="6D4A0350" w14:textId="77777777">
      <w:pPr>
        <w:pStyle w:val="Heading2"/>
      </w:pPr>
      <w:r>
        <w:t>7.1 Estimations principales</w:t>
      </w:r>
    </w:p>
    <w:p w14:paraId="4B6E0906" w14:textId="77777777">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14:paraId="2E144B5D" w14:textId="77777777">
        <w:trPr>
          <w:cantSplit/>
          <w:tblHeader/>
        </w:trPr>
        <w:tc>
          <w:tcPr>
            <w:tcW w:w="3000" w:type="dxa"/>
            <w:shd w:val="clear" w:color="auto" w:fill="E7E6E6"/>
            <w:tcMar>
              <w:top w:w="90" w:type="dxa"/>
              <w:left w:w="120" w:type="dxa"/>
              <w:bottom w:w="90" w:type="dxa"/>
              <w:right w:w="120" w:type="dxa"/>
            </w:tcMar>
            <w:vAlign w:val="center"/>
          </w:tcPr>
          <w:p w14:paraId="575D19D9" w14:textId="77777777">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29B57E8A" w14:textId="77777777">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32C42C68" w14:textId="77777777">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AE85512" w14:textId="77777777">
            <w:pPr>
              <w:keepNext/>
              <w:keepLines/>
              <w:spacing w:after="0" w:line="252" w:lineRule="auto"/>
              <w:jc w:val="right"/>
            </w:pPr>
            <w:r>
              <w:rPr>
                <w:b/>
                <w:sz w:val="18"/>
              </w:rPr>
              <w:t>IC 95 % haut</w:t>
            </w:r>
          </w:p>
        </w:tc>
      </w:tr>
      <w:tr w14:paraId="1A2BCC49" w14:textId="77777777">
        <w:trPr>
          <w:cantSplit/>
        </w:trPr>
        <w:tc>
          <w:tcPr>
            <w:tcW w:w="3000" w:type="dxa"/>
            <w:tcMar>
              <w:top w:w="90" w:type="dxa"/>
              <w:left w:w="120" w:type="dxa"/>
              <w:bottom w:w="90" w:type="dxa"/>
              <w:right w:w="120" w:type="dxa"/>
            </w:tcMar>
            <w:vAlign w:val="center"/>
          </w:tcPr>
          <w:p w14:paraId="5B9BEE9F" w14:textId="77777777">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81E40AD" w14:textId="77777777">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0BA3EA71" w14:textId="77777777">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2A65B05E" w14:textId="77777777">
            <w:pPr>
              <w:keepNext/>
              <w:keepLines/>
              <w:spacing w:after="0" w:line="252" w:lineRule="auto"/>
              <w:jc w:val="right"/>
            </w:pPr>
            <w:r>
              <w:rPr>
                <w:sz w:val="18"/>
              </w:rPr>
              <w:t>3,674</w:t>
            </w:r>
          </w:p>
        </w:tc>
      </w:tr>
      <w:tr w14:paraId="6A5F61D5" w14:textId="77777777">
        <w:trPr>
          <w:cantSplit/>
        </w:trPr>
        <w:tc>
          <w:tcPr>
            <w:tcW w:w="3000" w:type="dxa"/>
            <w:shd w:val="clear" w:color="auto" w:fill="F7F7F7"/>
            <w:tcMar>
              <w:top w:w="90" w:type="dxa"/>
              <w:left w:w="120" w:type="dxa"/>
              <w:bottom w:w="90" w:type="dxa"/>
              <w:right w:w="120" w:type="dxa"/>
            </w:tcMar>
            <w:vAlign w:val="center"/>
          </w:tcPr>
          <w:p w14:paraId="1D48C099" w14:textId="77777777">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0B116A47" w14:textId="77777777">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3626DE37" w14:textId="77777777">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0C27B535" w14:textId="77777777">
            <w:pPr>
              <w:keepNext/>
              <w:keepLines/>
              <w:spacing w:after="0" w:line="252" w:lineRule="auto"/>
              <w:jc w:val="right"/>
            </w:pPr>
            <w:r>
              <w:rPr>
                <w:sz w:val="18"/>
              </w:rPr>
              <w:t>2,984</w:t>
            </w:r>
          </w:p>
        </w:tc>
      </w:tr>
      <w:tr w14:paraId="51B6DFFD" w14:textId="77777777">
        <w:trPr>
          <w:cantSplit/>
        </w:trPr>
        <w:tc>
          <w:tcPr>
            <w:tcW w:w="3000" w:type="dxa"/>
            <w:tcMar>
              <w:top w:w="90" w:type="dxa"/>
              <w:left w:w="120" w:type="dxa"/>
              <w:bottom w:w="90" w:type="dxa"/>
              <w:right w:w="120" w:type="dxa"/>
            </w:tcMar>
            <w:vAlign w:val="center"/>
          </w:tcPr>
          <w:p w14:paraId="68390F54" w14:textId="77777777">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700DF962" w14:textId="77777777">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632505B5" w14:textId="77777777">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1E58DA2E" w14:textId="77777777">
            <w:pPr>
              <w:keepNext/>
              <w:keepLines/>
              <w:spacing w:after="0" w:line="252" w:lineRule="auto"/>
              <w:jc w:val="right"/>
            </w:pPr>
            <w:r>
              <w:rPr>
                <w:sz w:val="18"/>
              </w:rPr>
              <w:t>3,143</w:t>
            </w:r>
          </w:p>
        </w:tc>
      </w:tr>
      <w:tr w14:paraId="28EE7138" w14:textId="77777777">
        <w:trPr>
          <w:cantSplit/>
        </w:trPr>
        <w:tc>
          <w:tcPr>
            <w:tcW w:w="3000" w:type="dxa"/>
            <w:shd w:val="clear" w:color="auto" w:fill="F7F7F7"/>
            <w:tcMar>
              <w:top w:w="90" w:type="dxa"/>
              <w:left w:w="120" w:type="dxa"/>
              <w:bottom w:w="90" w:type="dxa"/>
              <w:right w:w="120" w:type="dxa"/>
            </w:tcMar>
            <w:vAlign w:val="center"/>
          </w:tcPr>
          <w:p w14:paraId="6FBBDF79" w14:textId="77777777">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15791ABF" w14:textId="77777777">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6203D98A" w14:textId="77777777">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48BD8043" w14:textId="77777777">
            <w:pPr>
              <w:keepNext/>
              <w:keepLines/>
              <w:spacing w:after="0" w:line="252" w:lineRule="auto"/>
              <w:jc w:val="right"/>
            </w:pPr>
            <w:r>
              <w:rPr>
                <w:sz w:val="18"/>
              </w:rPr>
              <w:t>3,188</w:t>
            </w:r>
          </w:p>
        </w:tc>
      </w:tr>
    </w:tbl>
    <w:p w14:paraId="5E7A33E1" w14:textId="77777777">
      <w:pPr>
        <w:pStyle w:val="Source"/>
      </w:pPr>
      <w:r>
        <w:t>Source : résultats produits par le notebook final.</w:t>
      </w:r>
    </w:p>
    <w:p w14:paraId="112523F8" w14:textId="77777777">
      <w:pPr>
        <w:keepNext/>
        <w:keepLines/>
        <w:spacing w:before="100" w:after="40"/>
        <w:jc w:val="center"/>
      </w:pPr>
      <w:r>
        <w:rPr>
          <w:noProof/>
        </w:rPr>
        <w:drawing>
          <wp:inline distT="0" distB="0" distL="0" distR="0" wp14:anchorId="2049C9F2" wp14:editId="49D50934">
            <wp:extent cx="5440680" cy="2815398"/>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6500"/>
                    <a:stretch>
                      <a:fillRect/>
                    </a:stretch>
                  </pic:blipFill>
                  <pic:spPr>
                    <a:xfrm>
                      <a:off x="0" y="0"/>
                      <a:ext cx="5440680" cy="2815398"/>
                    </a:xfrm>
                    <a:prstGeom prst="rect">
                      <a:avLst/>
                    </a:prstGeom>
                  </pic:spPr>
                </pic:pic>
              </a:graphicData>
            </a:graphic>
          </wp:inline>
        </w:drawing>
      </w:r>
    </w:p>
    <w:p w14:paraId="58E1A3C7" w14:textId="77777777">
      <w:pPr>
        <w:pStyle w:val="Caption"/>
      </w:pPr>
      <w:r>
        <w:t>Figure 6. Association brute et estimations ajustées</w:t>
      </w:r>
    </w:p>
    <w:p w14:paraId="6354FC75" w14:textId="77777777">
      <w:pPr>
        <w:pStyle w:val="Source"/>
      </w:pPr>
      <w:r>
        <w:t>Source : notebook final; les segments représentent les intervalles à 95 %.</w:t>
      </w:r>
    </w:p>
    <w:p w14:paraId="4E65F550" w14:textId="77777777">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3880CB9D" w14:textId="77777777">
      <w:pPr>
        <w:pStyle w:val="Heading2"/>
      </w:pPr>
      <w:r>
        <w:t>7.2 Signification pratique</w:t>
      </w:r>
    </w:p>
    <w:p w14:paraId="40101FCD" w14:textId="77777777">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45A0C62D" w14:textId="77777777">
      <w:pPr>
        <w:pStyle w:val="Heading2"/>
      </w:pPr>
      <w:r>
        <w:lastRenderedPageBreak/>
        <w:t>7.3 Spécifications alternatives</w:t>
      </w:r>
    </w:p>
    <w:p w14:paraId="43DF89DC" w14:textId="77777777">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14:paraId="769611A3" w14:textId="77777777">
        <w:trPr>
          <w:cantSplit/>
          <w:tblHeader/>
        </w:trPr>
        <w:tc>
          <w:tcPr>
            <w:tcW w:w="4600" w:type="dxa"/>
            <w:shd w:val="clear" w:color="auto" w:fill="E7E6E6"/>
            <w:tcMar>
              <w:top w:w="90" w:type="dxa"/>
              <w:left w:w="120" w:type="dxa"/>
              <w:bottom w:w="90" w:type="dxa"/>
              <w:right w:w="120" w:type="dxa"/>
            </w:tcMar>
            <w:vAlign w:val="center"/>
          </w:tcPr>
          <w:p w14:paraId="71B88AC5" w14:textId="77777777">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4FB09D34" w14:textId="77777777">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458BB49F" w14:textId="77777777">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B9D24B6" w14:textId="77777777">
            <w:pPr>
              <w:keepNext/>
              <w:keepLines/>
              <w:spacing w:after="0" w:line="252" w:lineRule="auto"/>
              <w:jc w:val="right"/>
            </w:pPr>
            <w:r>
              <w:rPr>
                <w:b/>
                <w:sz w:val="17"/>
              </w:rPr>
              <w:t>IC à 95 %</w:t>
            </w:r>
          </w:p>
        </w:tc>
      </w:tr>
      <w:tr w14:paraId="616AB18F" w14:textId="77777777">
        <w:trPr>
          <w:cantSplit/>
        </w:trPr>
        <w:tc>
          <w:tcPr>
            <w:tcW w:w="4600" w:type="dxa"/>
            <w:tcMar>
              <w:top w:w="90" w:type="dxa"/>
              <w:left w:w="120" w:type="dxa"/>
              <w:bottom w:w="90" w:type="dxa"/>
              <w:right w:w="120" w:type="dxa"/>
            </w:tcMar>
            <w:vAlign w:val="center"/>
          </w:tcPr>
          <w:p w14:paraId="762F8AE7" w14:textId="77777777">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18F0C751" w14:textId="77777777">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681B2A97" w14:textId="77777777">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753DDD96" w14:textId="77777777">
            <w:pPr>
              <w:keepNext/>
              <w:keepLines/>
              <w:spacing w:after="0" w:line="252" w:lineRule="auto"/>
              <w:jc w:val="right"/>
            </w:pPr>
            <w:r>
              <w:rPr>
                <w:sz w:val="17"/>
              </w:rPr>
              <w:t>[-0,176 ; 3,188]</w:t>
            </w:r>
          </w:p>
        </w:tc>
      </w:tr>
      <w:tr w14:paraId="3FDB70CE" w14:textId="77777777">
        <w:trPr>
          <w:cantSplit/>
        </w:trPr>
        <w:tc>
          <w:tcPr>
            <w:tcW w:w="4600" w:type="dxa"/>
            <w:shd w:val="clear" w:color="auto" w:fill="F7F7F7"/>
            <w:tcMar>
              <w:top w:w="90" w:type="dxa"/>
              <w:left w:w="120" w:type="dxa"/>
              <w:bottom w:w="90" w:type="dxa"/>
              <w:right w:w="120" w:type="dxa"/>
            </w:tcMar>
            <w:vAlign w:val="center"/>
          </w:tcPr>
          <w:p w14:paraId="552AB4B5" w14:textId="77777777">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626363F6" w14:textId="77777777">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19FEB6E7" w14:textId="77777777">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BBB69EC" w14:textId="77777777">
            <w:pPr>
              <w:keepNext/>
              <w:keepLines/>
              <w:spacing w:after="0" w:line="252" w:lineRule="auto"/>
              <w:jc w:val="right"/>
            </w:pPr>
            <w:r>
              <w:rPr>
                <w:sz w:val="17"/>
              </w:rPr>
              <w:t>[0,535 ; 3,931]</w:t>
            </w:r>
          </w:p>
        </w:tc>
      </w:tr>
      <w:tr w14:paraId="2E312DD6" w14:textId="77777777">
        <w:trPr>
          <w:cantSplit/>
        </w:trPr>
        <w:tc>
          <w:tcPr>
            <w:tcW w:w="4600" w:type="dxa"/>
            <w:tcMar>
              <w:top w:w="90" w:type="dxa"/>
              <w:left w:w="120" w:type="dxa"/>
              <w:bottom w:w="90" w:type="dxa"/>
              <w:right w:w="120" w:type="dxa"/>
            </w:tcMar>
            <w:vAlign w:val="center"/>
          </w:tcPr>
          <w:p w14:paraId="60836228" w14:textId="77777777">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2B5971C6" w14:textId="77777777">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216E7938" w14:textId="77777777">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262D2D57" w14:textId="77777777">
            <w:pPr>
              <w:keepNext/>
              <w:keepLines/>
              <w:spacing w:after="0" w:line="252" w:lineRule="auto"/>
              <w:jc w:val="right"/>
            </w:pPr>
            <w:r>
              <w:rPr>
                <w:sz w:val="17"/>
              </w:rPr>
              <w:t>[-0,392 ; 2,778]</w:t>
            </w:r>
          </w:p>
        </w:tc>
      </w:tr>
      <w:tr w14:paraId="2AEBABCA" w14:textId="77777777">
        <w:trPr>
          <w:cantSplit/>
        </w:trPr>
        <w:tc>
          <w:tcPr>
            <w:tcW w:w="4600" w:type="dxa"/>
            <w:shd w:val="clear" w:color="auto" w:fill="F7F7F7"/>
            <w:tcMar>
              <w:top w:w="90" w:type="dxa"/>
              <w:left w:w="120" w:type="dxa"/>
              <w:bottom w:w="90" w:type="dxa"/>
              <w:right w:w="120" w:type="dxa"/>
            </w:tcMar>
            <w:vAlign w:val="center"/>
          </w:tcPr>
          <w:p w14:paraId="2FB82C4E" w14:textId="77777777">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478883B4" w14:textId="77777777">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5B316249" w14:textId="77777777">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109478D1" w14:textId="77777777">
            <w:pPr>
              <w:keepNext/>
              <w:keepLines/>
              <w:spacing w:after="0" w:line="252" w:lineRule="auto"/>
              <w:jc w:val="right"/>
            </w:pPr>
            <w:r>
              <w:rPr>
                <w:sz w:val="17"/>
              </w:rPr>
              <w:t>[-0,484 ; 2,882]</w:t>
            </w:r>
          </w:p>
        </w:tc>
      </w:tr>
      <w:tr w14:paraId="10C87F66" w14:textId="77777777">
        <w:trPr>
          <w:cantSplit/>
        </w:trPr>
        <w:tc>
          <w:tcPr>
            <w:tcW w:w="4600" w:type="dxa"/>
            <w:tcMar>
              <w:top w:w="90" w:type="dxa"/>
              <w:left w:w="120" w:type="dxa"/>
              <w:bottom w:w="90" w:type="dxa"/>
              <w:right w:w="120" w:type="dxa"/>
            </w:tcMar>
            <w:vAlign w:val="center"/>
          </w:tcPr>
          <w:p w14:paraId="2E2A3143" w14:textId="77777777">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23B098C1" w14:textId="77777777">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48E0ED8B" w14:textId="77777777">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7805C7A2" w14:textId="77777777">
            <w:pPr>
              <w:keepNext/>
              <w:keepLines/>
              <w:spacing w:after="0" w:line="252" w:lineRule="auto"/>
              <w:jc w:val="right"/>
            </w:pPr>
            <w:r>
              <w:rPr>
                <w:sz w:val="17"/>
              </w:rPr>
              <w:t>[-0,126 ; 3,235]</w:t>
            </w:r>
          </w:p>
        </w:tc>
      </w:tr>
      <w:tr w14:paraId="0428E2C9" w14:textId="77777777">
        <w:trPr>
          <w:cantSplit/>
        </w:trPr>
        <w:tc>
          <w:tcPr>
            <w:tcW w:w="4600" w:type="dxa"/>
            <w:shd w:val="clear" w:color="auto" w:fill="F7F7F7"/>
            <w:tcMar>
              <w:top w:w="90" w:type="dxa"/>
              <w:left w:w="120" w:type="dxa"/>
              <w:bottom w:w="90" w:type="dxa"/>
              <w:right w:w="120" w:type="dxa"/>
            </w:tcMar>
            <w:vAlign w:val="center"/>
          </w:tcPr>
          <w:p w14:paraId="76CC351B" w14:textId="77777777">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131E50D6" w14:textId="77777777">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0D0FD752" w14:textId="77777777">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33C41365" w14:textId="77777777">
            <w:pPr>
              <w:keepNext/>
              <w:keepLines/>
              <w:spacing w:after="0" w:line="252" w:lineRule="auto"/>
              <w:jc w:val="right"/>
            </w:pPr>
            <w:r>
              <w:rPr>
                <w:sz w:val="17"/>
              </w:rPr>
              <w:t>[0,123 ; 3,348]</w:t>
            </w:r>
          </w:p>
        </w:tc>
      </w:tr>
    </w:tbl>
    <w:p w14:paraId="2F90EB5F" w14:textId="77777777">
      <w:pPr>
        <w:pStyle w:val="Source"/>
      </w:pPr>
      <w:r>
        <w:t>Source : analyses de robustesse exécutées dans le notebook final.</w:t>
      </w:r>
    </w:p>
    <w:p w14:paraId="65A277BF" w14:textId="77777777">
      <w:pPr>
        <w:keepNext/>
        <w:keepLines/>
        <w:spacing w:before="100" w:after="40"/>
        <w:jc w:val="center"/>
      </w:pPr>
      <w:r>
        <w:rPr>
          <w:noProof/>
        </w:rPr>
        <w:drawing>
          <wp:inline distT="0" distB="0" distL="0" distR="0" wp14:anchorId="0CCEE3E4" wp14:editId="780946B1">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24D8CB3B" w14:textId="77777777">
      <w:pPr>
        <w:pStyle w:val="Caption"/>
      </w:pPr>
      <w:r>
        <w:t>Figure 7. Sensibilité de l'estimation AIPW</w:t>
      </w:r>
    </w:p>
    <w:p w14:paraId="2BF95F0A" w14:textId="77777777">
      <w:pPr>
        <w:pStyle w:val="Source"/>
      </w:pPr>
      <w:r>
        <w:t>Source : six spécifications de population, d'ajustement et de modèles de nuisance.</w:t>
      </w:r>
    </w:p>
    <w:p w14:paraId="18BFDCD9" w14:textId="77777777">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13883EFC" w14:textId="77777777">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6CE50E54" w14:textId="77777777">
      <w:pPr>
        <w:pStyle w:val="Heading2"/>
      </w:pPr>
      <w:r>
        <w:lastRenderedPageBreak/>
        <w:t>7.4 Sensibilité à la confusion non mesurée</w:t>
      </w:r>
    </w:p>
    <w:p w14:paraId="2A63A2FB" w14:textId="77777777">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4B703167" w14:textId="77777777">
      <w:pPr>
        <w:pStyle w:val="Heading1"/>
      </w:pPr>
      <w:bookmarkStart w:id="7" w:name="_Toc235024103"/>
      <w:r>
        <w:t>8. Discussion et limites</w:t>
      </w:r>
      <w:bookmarkEnd w:id="7"/>
    </w:p>
    <w:p w14:paraId="2A241B6E" w14:textId="77777777">
      <w:pPr>
        <w:pStyle w:val="Heading2"/>
      </w:pPr>
      <w:r>
        <w:t>8.1 Ce que les résultats permettent d'affirmer</w:t>
      </w:r>
    </w:p>
    <w:p w14:paraId="463D0ABA" w14:textId="77777777">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2ED14B27" w14:textId="77777777">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2E3CD8E2" w14:textId="77777777">
      <w:pPr>
        <w:pStyle w:val="Heading2"/>
      </w:pPr>
      <w:r>
        <w:t>8.2 Menaces à la validité</w:t>
      </w:r>
    </w:p>
    <w:p w14:paraId="6F59150A" w14:textId="77777777">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478910A7" w14:textId="77777777">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70509F6C" w14:textId="77777777">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6000DA62" w14:textId="77777777">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1BC6CE06" w14:textId="77777777">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34DA8FA7" w14:textId="77777777">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3FC5BA7B" w14:textId="77777777">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1F8FDF18" w14:textId="77777777">
      <w:pPr>
        <w:pStyle w:val="ListParagraph"/>
        <w:keepLines/>
        <w:numPr>
          <w:ilvl w:val="0"/>
          <w:numId w:val="12"/>
        </w:numPr>
        <w:jc w:val="left"/>
      </w:pPr>
      <w:r>
        <w:rPr>
          <w:b/>
        </w:rPr>
        <w:lastRenderedPageBreak/>
        <w:t xml:space="preserve">Validité externe : </w:t>
      </w:r>
      <w:r>
        <w:t>le résultat s'applique au site et à l'année observés, pour des sessions hors jours spéciaux. Il ne se transpose pas automatiquement à d'autres plateformes ou périodes.</w:t>
      </w:r>
    </w:p>
    <w:p w14:paraId="6D6E7076" w14:textId="77777777">
      <w:pPr>
        <w:pStyle w:val="Heading2"/>
      </w:pPr>
      <w:r>
        <w:t>8.3 Prochaine étude recommandée</w:t>
      </w:r>
    </w:p>
    <w:p w14:paraId="40DD496A" w14:textId="77777777">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04564CBD" w14:textId="77777777">
      <w:pPr>
        <w:pStyle w:val="Heading1"/>
      </w:pPr>
      <w:bookmarkStart w:id="8" w:name="_Toc235024104"/>
      <w:r>
        <w:t>9. Reproductibilité</w:t>
      </w:r>
      <w:bookmarkEnd w:id="8"/>
    </w:p>
    <w:p w14:paraId="7DCAB158" w14:textId="77777777">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64027022" w14:textId="77777777">
      <w:pPr>
        <w:pStyle w:val="ListParagraph"/>
        <w:keepLines/>
        <w:numPr>
          <w:ilvl w:val="0"/>
          <w:numId w:val="13"/>
        </w:numPr>
        <w:jc w:val="left"/>
      </w:pPr>
      <w:r>
        <w:t>Notebook exécuté : 01_notebooks/livrable/projet_final_inference_causale_online_shoppers.ipynb</w:t>
      </w:r>
    </w:p>
    <w:p w14:paraId="4C94A93C" w14:textId="77777777">
      <w:pPr>
        <w:pStyle w:val="ListParagraph"/>
        <w:keepLines/>
        <w:numPr>
          <w:ilvl w:val="0"/>
          <w:numId w:val="13"/>
        </w:numPr>
        <w:jc w:val="left"/>
      </w:pPr>
      <w:r>
        <w:t>Données : 02_data/raw/online_shoppers_intention.csv</w:t>
      </w:r>
    </w:p>
    <w:p w14:paraId="7E2D3750" w14:textId="77777777">
      <w:pPr>
        <w:pStyle w:val="ListParagraph"/>
        <w:keepLines/>
        <w:numPr>
          <w:ilvl w:val="0"/>
          <w:numId w:val="13"/>
        </w:numPr>
        <w:jc w:val="left"/>
      </w:pPr>
      <w:r>
        <w:t>Figures et tableaux : 04_outputs/figures/ et 04_outputs/tableaux/</w:t>
      </w:r>
    </w:p>
    <w:p w14:paraId="27AFF412" w14:textId="77777777">
      <w:pPr>
        <w:pStyle w:val="ListParagraph"/>
        <w:keepLines/>
        <w:numPr>
          <w:ilvl w:val="0"/>
          <w:numId w:val="13"/>
        </w:numPr>
        <w:jc w:val="left"/>
      </w:pPr>
      <w:r>
        <w:t>Export HTML : 04_outputs/notebook_html/projet_final_inference_causale_online_shoppers.html</w:t>
      </w:r>
    </w:p>
    <w:p w14:paraId="243321B2" w14:textId="77777777">
      <w:pPr>
        <w:pStyle w:val="ListParagraph"/>
        <w:keepLines/>
        <w:numPr>
          <w:ilvl w:val="0"/>
          <w:numId w:val="13"/>
        </w:numPr>
        <w:jc w:val="left"/>
      </w:pPr>
      <w:r>
        <w:t>Dépendances : requirements.txt; environnement validé sous Python 3.14.3.</w:t>
      </w:r>
    </w:p>
    <w:p w14:paraId="58A06442" w14:textId="77777777">
      <w:r>
        <w:t>Depuis la racine extraite, l'utilisateur installe les dépendances, puis lance l'exécution non interactive indiquée dans le README. Les chemins sont relatifs afin que le notebook retrouve les données et réécrive ses sorties dans la structure livrée.</w:t>
      </w:r>
    </w:p>
    <w:p w14:paraId="1C331377" w14:textId="77777777">
      <w:pPr>
        <w:pStyle w:val="Heading1"/>
      </w:pPr>
      <w:bookmarkStart w:id="9" w:name="_Toc235024105"/>
      <w:r>
        <w:t>10. Conclusion</w:t>
      </w:r>
      <w:bookmarkEnd w:id="9"/>
    </w:p>
    <w:p w14:paraId="6E7E8DC0" w14:textId="77777777">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0810F092" w14:textId="77777777">
      <w:pPr>
        <w:keepLines/>
      </w:pPr>
      <w:r>
        <w:lastRenderedPageBreak/>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0CE9C139" w14:textId="77777777">
      <w:pPr>
        <w:pStyle w:val="Heading1"/>
      </w:pPr>
      <w:bookmarkStart w:id="10" w:name="_Toc235024106"/>
      <w:r>
        <w:t>Références</w:t>
      </w:r>
      <w:bookmarkEnd w:id="10"/>
    </w:p>
    <w:p w14:paraId="7EA65350" w14:textId="77777777">
      <w:pPr>
        <w:pStyle w:val="ListParagraph"/>
        <w:keepLines/>
        <w:numPr>
          <w:ilvl w:val="0"/>
          <w:numId w:val="14"/>
        </w:numPr>
        <w:jc w:val="left"/>
      </w:pPr>
      <w:r>
        <w:t>Sakar, C. et Kastro, Y. (2018). Online Shoppers Purchasing Intention Dataset. UCI Machine Learning Repository. DOI : 10.24432/C5F88Q.</w:t>
      </w:r>
    </w:p>
    <w:p w14:paraId="4DD71953" w14:textId="77777777">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4FF36955" w14:textId="77777777">
      <w:pPr>
        <w:pStyle w:val="ListParagraph"/>
        <w:keepLines/>
        <w:numPr>
          <w:ilvl w:val="0"/>
          <w:numId w:val="14"/>
        </w:numPr>
        <w:jc w:val="left"/>
      </w:pPr>
      <w:r>
        <w:t>Pearl, J. (2009). Causality: Models, Reasoning, and Inference (2e éd.). Cambridge University Press.</w:t>
      </w:r>
    </w:p>
    <w:p w14:paraId="481CB619" w14:textId="77777777">
      <w:pPr>
        <w:pStyle w:val="ListParagraph"/>
        <w:keepLines/>
        <w:numPr>
          <w:ilvl w:val="0"/>
          <w:numId w:val="14"/>
        </w:numPr>
        <w:jc w:val="left"/>
      </w:pPr>
      <w:r>
        <w:t>Rosenbaum, P. R. et Rubin, D. B. (1983). The central role of the propensity score in observational studies for causal effects. Biometrika, 70(1), 41-55.</w:t>
      </w:r>
    </w:p>
    <w:p w14:paraId="1082BD38" w14:textId="77777777">
      <w:pPr>
        <w:pStyle w:val="ListParagraph"/>
        <w:keepLines/>
        <w:numPr>
          <w:ilvl w:val="0"/>
          <w:numId w:val="14"/>
        </w:numPr>
        <w:jc w:val="left"/>
      </w:pPr>
      <w:r>
        <w:t>Spirtes, P., Glymour, C. et Scheines, R. (2000). Causation, Prediction, and Search (2e éd.). MIT Press.</w:t>
      </w:r>
    </w:p>
    <w:p w14:paraId="02A1C28C" w14:textId="77777777">
      <w:pPr>
        <w:pStyle w:val="ListParagraph"/>
        <w:keepLines/>
        <w:numPr>
          <w:ilvl w:val="0"/>
          <w:numId w:val="14"/>
        </w:numPr>
        <w:jc w:val="left"/>
      </w:pPr>
      <w:r>
        <w:t>Bang, H. et Robins, J. M. (2005). Doubly robust estimation in missing data and causal inference models. Biometrics, 61(4), 962-973.</w:t>
      </w:r>
    </w:p>
    <w:p w14:paraId="12B126FD" w14:textId="77777777">
      <w:pPr>
        <w:pStyle w:val="ListParagraph"/>
        <w:keepLines/>
        <w:numPr>
          <w:ilvl w:val="0"/>
          <w:numId w:val="14"/>
        </w:numPr>
        <w:jc w:val="left"/>
      </w:pPr>
      <w:r>
        <w:t>VanderWeele, T. J. et Ding, P. (2017). Sensitivity analysis in observational research: introducing the E-value. Annals of Internal Medicine, 167(4), 268-274.</w:t>
      </w:r>
    </w:p>
    <w:p w14:paraId="31317F3F" w14:textId="77777777">
      <w:pPr>
        <w:pStyle w:val="Heading1"/>
        <w:pageBreakBefore/>
      </w:pPr>
      <w:bookmarkStart w:id="11" w:name="_Toc235024107"/>
      <w:r>
        <w:lastRenderedPageBreak/>
        <w:t>Annexe A. Arêtes du PAG FCI</w:t>
      </w:r>
      <w:bookmarkEnd w:id="11"/>
    </w:p>
    <w:p w14:paraId="52EB5B5E" w14:textId="77777777">
      <w:r>
        <w:t>Le tableau A1 reproduit l'ensemble des 13 arêtes du PAG au seuil principal α = 0,01. Le symbole o—o indique une orientation indéterminée; o→ une orientation partielle; → une direction compatible avec les contraintes et les indépendances détectées.</w:t>
      </w:r>
    </w:p>
    <w:p w14:paraId="2A1D09EE" w14:textId="77777777">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14:paraId="62C4EE8E" w14:textId="77777777">
        <w:trPr>
          <w:cantSplit/>
          <w:tblHeader/>
        </w:trPr>
        <w:tc>
          <w:tcPr>
            <w:tcW w:w="9360" w:type="dxa"/>
            <w:shd w:val="clear" w:color="auto" w:fill="E7E6E6"/>
            <w:tcMar>
              <w:top w:w="90" w:type="dxa"/>
              <w:left w:w="120" w:type="dxa"/>
              <w:bottom w:w="90" w:type="dxa"/>
              <w:right w:w="120" w:type="dxa"/>
            </w:tcMar>
            <w:vAlign w:val="center"/>
          </w:tcPr>
          <w:p w14:paraId="3712AEB4" w14:textId="77777777">
            <w:pPr>
              <w:keepNext/>
              <w:keepLines/>
              <w:spacing w:after="0" w:line="252" w:lineRule="auto"/>
              <w:jc w:val="left"/>
            </w:pPr>
            <w:r>
              <w:rPr>
                <w:b/>
                <w:sz w:val="18"/>
              </w:rPr>
              <w:t>Arête du PAG</w:t>
            </w:r>
          </w:p>
        </w:tc>
      </w:tr>
      <w:tr w14:paraId="0A731A20" w14:textId="77777777">
        <w:trPr>
          <w:cantSplit/>
        </w:trPr>
        <w:tc>
          <w:tcPr>
            <w:tcW w:w="9360" w:type="dxa"/>
            <w:tcMar>
              <w:top w:w="90" w:type="dxa"/>
              <w:left w:w="120" w:type="dxa"/>
              <w:bottom w:w="90" w:type="dxa"/>
              <w:right w:w="120" w:type="dxa"/>
            </w:tcMar>
            <w:vAlign w:val="center"/>
          </w:tcPr>
          <w:p w14:paraId="38009C25" w14:textId="77777777">
            <w:pPr>
              <w:keepLines/>
              <w:spacing w:after="0" w:line="252" w:lineRule="auto"/>
              <w:jc w:val="left"/>
            </w:pPr>
            <w:r>
              <w:rPr>
                <w:sz w:val="18"/>
              </w:rPr>
              <w:t>Periode o—o JourSpecial</w:t>
            </w:r>
          </w:p>
        </w:tc>
      </w:tr>
      <w:tr w14:paraId="1F1C1581" w14:textId="77777777">
        <w:trPr>
          <w:cantSplit/>
        </w:trPr>
        <w:tc>
          <w:tcPr>
            <w:tcW w:w="9360" w:type="dxa"/>
            <w:shd w:val="clear" w:color="auto" w:fill="F7F7F7"/>
            <w:tcMar>
              <w:top w:w="90" w:type="dxa"/>
              <w:left w:w="120" w:type="dxa"/>
              <w:bottom w:w="90" w:type="dxa"/>
              <w:right w:w="120" w:type="dxa"/>
            </w:tcMar>
            <w:vAlign w:val="center"/>
          </w:tcPr>
          <w:p w14:paraId="7CBDF990" w14:textId="77777777">
            <w:pPr>
              <w:keepLines/>
              <w:spacing w:after="0" w:line="252" w:lineRule="auto"/>
              <w:jc w:val="left"/>
            </w:pPr>
            <w:r>
              <w:rPr>
                <w:sz w:val="18"/>
              </w:rPr>
              <w:t>Periode o—o NouveauVisiteur</w:t>
            </w:r>
          </w:p>
        </w:tc>
      </w:tr>
      <w:tr w14:paraId="0F5F87E5" w14:textId="77777777">
        <w:trPr>
          <w:cantSplit/>
        </w:trPr>
        <w:tc>
          <w:tcPr>
            <w:tcW w:w="9360" w:type="dxa"/>
            <w:tcMar>
              <w:top w:w="90" w:type="dxa"/>
              <w:left w:w="120" w:type="dxa"/>
              <w:bottom w:w="90" w:type="dxa"/>
              <w:right w:w="120" w:type="dxa"/>
            </w:tcMar>
            <w:vAlign w:val="center"/>
          </w:tcPr>
          <w:p w14:paraId="1371CA03" w14:textId="77777777">
            <w:pPr>
              <w:keepLines/>
              <w:spacing w:after="0" w:line="252" w:lineRule="auto"/>
              <w:jc w:val="left"/>
            </w:pPr>
            <w:r>
              <w:rPr>
                <w:sz w:val="18"/>
              </w:rPr>
              <w:t>Periode → SourceTrafic</w:t>
            </w:r>
          </w:p>
        </w:tc>
      </w:tr>
      <w:tr w14:paraId="485F1AB5" w14:textId="77777777">
        <w:trPr>
          <w:cantSplit/>
        </w:trPr>
        <w:tc>
          <w:tcPr>
            <w:tcW w:w="9360" w:type="dxa"/>
            <w:shd w:val="clear" w:color="auto" w:fill="F7F7F7"/>
            <w:tcMar>
              <w:top w:w="90" w:type="dxa"/>
              <w:left w:w="120" w:type="dxa"/>
              <w:bottom w:w="90" w:type="dxa"/>
              <w:right w:w="120" w:type="dxa"/>
            </w:tcMar>
            <w:vAlign w:val="center"/>
          </w:tcPr>
          <w:p w14:paraId="5EED1583" w14:textId="77777777">
            <w:pPr>
              <w:keepLines/>
              <w:spacing w:after="0" w:line="252" w:lineRule="auto"/>
              <w:jc w:val="left"/>
            </w:pPr>
            <w:r>
              <w:rPr>
                <w:sz w:val="18"/>
              </w:rPr>
              <w:t>Periode → Revenue</w:t>
            </w:r>
          </w:p>
        </w:tc>
      </w:tr>
      <w:tr w14:paraId="543D91C1" w14:textId="77777777">
        <w:trPr>
          <w:cantSplit/>
        </w:trPr>
        <w:tc>
          <w:tcPr>
            <w:tcW w:w="9360" w:type="dxa"/>
            <w:tcMar>
              <w:top w:w="90" w:type="dxa"/>
              <w:left w:w="120" w:type="dxa"/>
              <w:bottom w:w="90" w:type="dxa"/>
              <w:right w:w="120" w:type="dxa"/>
            </w:tcMar>
            <w:vAlign w:val="center"/>
          </w:tcPr>
          <w:p w14:paraId="03905C9C" w14:textId="77777777">
            <w:pPr>
              <w:keepLines/>
              <w:spacing w:after="0" w:line="252" w:lineRule="auto"/>
              <w:jc w:val="left"/>
            </w:pPr>
            <w:r>
              <w:rPr>
                <w:sz w:val="18"/>
              </w:rPr>
              <w:t>JourSpecial o—o NouveauVisiteur</w:t>
            </w:r>
          </w:p>
        </w:tc>
      </w:tr>
      <w:tr w14:paraId="76B76D03" w14:textId="77777777">
        <w:trPr>
          <w:cantSplit/>
        </w:trPr>
        <w:tc>
          <w:tcPr>
            <w:tcW w:w="9360" w:type="dxa"/>
            <w:shd w:val="clear" w:color="auto" w:fill="F7F7F7"/>
            <w:tcMar>
              <w:top w:w="90" w:type="dxa"/>
              <w:left w:w="120" w:type="dxa"/>
              <w:bottom w:w="90" w:type="dxa"/>
              <w:right w:w="120" w:type="dxa"/>
            </w:tcMar>
            <w:vAlign w:val="center"/>
          </w:tcPr>
          <w:p w14:paraId="590D8515" w14:textId="77777777">
            <w:pPr>
              <w:keepLines/>
              <w:spacing w:after="0" w:line="252" w:lineRule="auto"/>
              <w:jc w:val="left"/>
            </w:pPr>
            <w:r>
              <w:rPr>
                <w:sz w:val="18"/>
              </w:rPr>
              <w:t>JourSpecial → SourceTrafic</w:t>
            </w:r>
          </w:p>
        </w:tc>
      </w:tr>
      <w:tr w14:paraId="627EEB82" w14:textId="77777777">
        <w:trPr>
          <w:cantSplit/>
        </w:trPr>
        <w:tc>
          <w:tcPr>
            <w:tcW w:w="9360" w:type="dxa"/>
            <w:tcMar>
              <w:top w:w="90" w:type="dxa"/>
              <w:left w:w="120" w:type="dxa"/>
              <w:bottom w:w="90" w:type="dxa"/>
              <w:right w:w="120" w:type="dxa"/>
            </w:tcMar>
            <w:vAlign w:val="center"/>
          </w:tcPr>
          <w:p w14:paraId="75DE0BFD" w14:textId="77777777">
            <w:pPr>
              <w:keepLines/>
              <w:spacing w:after="0" w:line="252" w:lineRule="auto"/>
              <w:jc w:val="left"/>
            </w:pPr>
            <w:r>
              <w:rPr>
                <w:sz w:val="18"/>
              </w:rPr>
              <w:t>JourSpecial → Weekend</w:t>
            </w:r>
          </w:p>
        </w:tc>
      </w:tr>
      <w:tr w14:paraId="24071A04" w14:textId="77777777">
        <w:trPr>
          <w:cantSplit/>
        </w:trPr>
        <w:tc>
          <w:tcPr>
            <w:tcW w:w="9360" w:type="dxa"/>
            <w:shd w:val="clear" w:color="auto" w:fill="F7F7F7"/>
            <w:tcMar>
              <w:top w:w="90" w:type="dxa"/>
              <w:left w:w="120" w:type="dxa"/>
              <w:bottom w:w="90" w:type="dxa"/>
              <w:right w:w="120" w:type="dxa"/>
            </w:tcMar>
            <w:vAlign w:val="center"/>
          </w:tcPr>
          <w:p w14:paraId="3A1DCB25" w14:textId="77777777">
            <w:pPr>
              <w:keepLines/>
              <w:spacing w:after="0" w:line="252" w:lineRule="auto"/>
              <w:jc w:val="left"/>
            </w:pPr>
            <w:r>
              <w:rPr>
                <w:sz w:val="18"/>
              </w:rPr>
              <w:t>JourSpecial → Revenue</w:t>
            </w:r>
          </w:p>
        </w:tc>
      </w:tr>
      <w:tr w14:paraId="5B428662" w14:textId="77777777">
        <w:trPr>
          <w:cantSplit/>
        </w:trPr>
        <w:tc>
          <w:tcPr>
            <w:tcW w:w="9360" w:type="dxa"/>
            <w:tcMar>
              <w:top w:w="90" w:type="dxa"/>
              <w:left w:w="120" w:type="dxa"/>
              <w:bottom w:w="90" w:type="dxa"/>
              <w:right w:w="120" w:type="dxa"/>
            </w:tcMar>
            <w:vAlign w:val="center"/>
          </w:tcPr>
          <w:p w14:paraId="3F7DE18C" w14:textId="77777777">
            <w:pPr>
              <w:keepLines/>
              <w:spacing w:after="0" w:line="252" w:lineRule="auto"/>
              <w:jc w:val="left"/>
            </w:pPr>
            <w:r>
              <w:rPr>
                <w:sz w:val="18"/>
              </w:rPr>
              <w:t>NouveauVisiteur → SourceTrafic</w:t>
            </w:r>
          </w:p>
        </w:tc>
      </w:tr>
      <w:tr w14:paraId="4AAEA3ED" w14:textId="77777777">
        <w:trPr>
          <w:cantSplit/>
        </w:trPr>
        <w:tc>
          <w:tcPr>
            <w:tcW w:w="9360" w:type="dxa"/>
            <w:shd w:val="clear" w:color="auto" w:fill="F7F7F7"/>
            <w:tcMar>
              <w:top w:w="90" w:type="dxa"/>
              <w:left w:w="120" w:type="dxa"/>
              <w:bottom w:w="90" w:type="dxa"/>
              <w:right w:w="120" w:type="dxa"/>
            </w:tcMar>
            <w:vAlign w:val="center"/>
          </w:tcPr>
          <w:p w14:paraId="222A453B" w14:textId="77777777">
            <w:pPr>
              <w:keepLines/>
              <w:spacing w:after="0" w:line="252" w:lineRule="auto"/>
              <w:jc w:val="left"/>
            </w:pPr>
            <w:r>
              <w:rPr>
                <w:sz w:val="18"/>
              </w:rPr>
              <w:t>NouveauVisiteur → Weekend</w:t>
            </w:r>
          </w:p>
        </w:tc>
      </w:tr>
      <w:tr w14:paraId="594D3E1D" w14:textId="77777777">
        <w:trPr>
          <w:cantSplit/>
        </w:trPr>
        <w:tc>
          <w:tcPr>
            <w:tcW w:w="9360" w:type="dxa"/>
            <w:tcMar>
              <w:top w:w="90" w:type="dxa"/>
              <w:left w:w="120" w:type="dxa"/>
              <w:bottom w:w="90" w:type="dxa"/>
              <w:right w:w="120" w:type="dxa"/>
            </w:tcMar>
            <w:vAlign w:val="center"/>
          </w:tcPr>
          <w:p w14:paraId="28D39D7B" w14:textId="77777777">
            <w:pPr>
              <w:keepLines/>
              <w:spacing w:after="0" w:line="252" w:lineRule="auto"/>
              <w:jc w:val="left"/>
            </w:pPr>
            <w:r>
              <w:rPr>
                <w:sz w:val="18"/>
              </w:rPr>
              <w:t>NouveauVisiteur → Revenue</w:t>
            </w:r>
          </w:p>
        </w:tc>
      </w:tr>
      <w:tr w14:paraId="68765B67" w14:textId="77777777">
        <w:trPr>
          <w:cantSplit/>
        </w:trPr>
        <w:tc>
          <w:tcPr>
            <w:tcW w:w="9360" w:type="dxa"/>
            <w:shd w:val="clear" w:color="auto" w:fill="F7F7F7"/>
            <w:tcMar>
              <w:top w:w="90" w:type="dxa"/>
              <w:left w:w="120" w:type="dxa"/>
              <w:bottom w:w="90" w:type="dxa"/>
              <w:right w:w="120" w:type="dxa"/>
            </w:tcMar>
            <w:vAlign w:val="center"/>
          </w:tcPr>
          <w:p w14:paraId="0354D4DA" w14:textId="77777777">
            <w:pPr>
              <w:keepLines/>
              <w:spacing w:after="0" w:line="252" w:lineRule="auto"/>
              <w:jc w:val="left"/>
            </w:pPr>
            <w:r>
              <w:rPr>
                <w:sz w:val="18"/>
              </w:rPr>
              <w:t>Weekend o→ SourceTrafic</w:t>
            </w:r>
          </w:p>
        </w:tc>
      </w:tr>
      <w:tr w14:paraId="7346F987" w14:textId="77777777">
        <w:trPr>
          <w:cantSplit/>
        </w:trPr>
        <w:tc>
          <w:tcPr>
            <w:tcW w:w="9360" w:type="dxa"/>
            <w:tcMar>
              <w:top w:w="90" w:type="dxa"/>
              <w:left w:w="120" w:type="dxa"/>
              <w:bottom w:w="90" w:type="dxa"/>
              <w:right w:w="120" w:type="dxa"/>
            </w:tcMar>
            <w:vAlign w:val="center"/>
          </w:tcPr>
          <w:p w14:paraId="1F9D5EB5" w14:textId="77777777">
            <w:pPr>
              <w:keepLines/>
              <w:spacing w:after="0" w:line="252" w:lineRule="auto"/>
              <w:jc w:val="left"/>
            </w:pPr>
            <w:r>
              <w:rPr>
                <w:sz w:val="18"/>
              </w:rPr>
              <w:t>SourceTrafic → Revenue</w:t>
            </w:r>
          </w:p>
        </w:tc>
      </w:tr>
    </w:tbl>
    <w:p w14:paraId="04DF9D98" w14:textId="77777777">
      <w:pPr>
        <w:pStyle w:val="Source"/>
      </w:pPr>
      <w:r>
        <w:t>Source : sortie FCI exportée par le notebook final.</w:t>
      </w:r>
    </w:p>
    <w:sectPr>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3071" w14:textId="77777777">
      <w:pPr>
        <w:spacing w:after="0" w:line="240" w:lineRule="auto"/>
      </w:pPr>
      <w:r>
        <w:separator/>
      </w:r>
    </w:p>
  </w:endnote>
  <w:endnote w:type="continuationSeparator" w:id="0">
    <w:p w14:paraId="5FDA44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C821" w14:textId="77777777">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8E8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C9CC" w14:textId="77777777">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CD3C" w14:textId="77777777">
      <w:pPr>
        <w:spacing w:after="0" w:line="240" w:lineRule="auto"/>
      </w:pPr>
      <w:r>
        <w:separator/>
      </w:r>
    </w:p>
  </w:footnote>
  <w:footnote w:type="continuationSeparator" w:id="0">
    <w:p w14:paraId="505FF18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E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39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42FA" w14:textId="77777777">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283272818">
    <w:abstractNumId w:val="13"/>
  </w:num>
  <w:num w:numId="2" w16cid:durableId="1710884480">
    <w:abstractNumId w:val="11"/>
  </w:num>
  <w:num w:numId="3" w16cid:durableId="1627740948">
    <w:abstractNumId w:val="10"/>
  </w:num>
  <w:num w:numId="4" w16cid:durableId="996957639">
    <w:abstractNumId w:val="9"/>
  </w:num>
  <w:num w:numId="5" w16cid:durableId="1375740310">
    <w:abstractNumId w:val="12"/>
  </w:num>
  <w:num w:numId="6" w16cid:durableId="357857551">
    <w:abstractNumId w:val="8"/>
  </w:num>
  <w:num w:numId="7" w16cid:durableId="1989820016">
    <w:abstractNumId w:val="7"/>
  </w:num>
  <w:num w:numId="8" w16cid:durableId="1856653860">
    <w:abstractNumId w:val="6"/>
  </w:num>
  <w:num w:numId="9" w16cid:durableId="463691676">
    <w:abstractNumId w:val="5"/>
  </w:num>
  <w:num w:numId="10" w16cid:durableId="644896158">
    <w:abstractNumId w:val="0"/>
    <w:lvlOverride w:ilvl="0">
      <w:startOverride w:val="1"/>
    </w:lvlOverride>
  </w:num>
  <w:num w:numId="11" w16cid:durableId="1033841522">
    <w:abstractNumId w:val="1"/>
    <w:lvlOverride w:ilvl="0">
      <w:startOverride w:val="1"/>
    </w:lvlOverride>
  </w:num>
  <w:num w:numId="12" w16cid:durableId="1087193251">
    <w:abstractNumId w:val="2"/>
    <w:lvlOverride w:ilvl="0">
      <w:startOverride w:val="1"/>
    </w:lvlOverride>
  </w:num>
  <w:num w:numId="13" w16cid:durableId="1280642147">
    <w:abstractNumId w:val="3"/>
    <w:lvlOverride w:ilvl="0">
      <w:startOverride w:val="1"/>
    </w:lvlOverride>
  </w:num>
  <w:num w:numId="14" w16cid:durableId="15363098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B8"/>
    <w:rsid w:val="0015074B"/>
    <w:rsid w:val="00255D6D"/>
    <w:rsid w:val="002878DB"/>
    <w:rsid w:val="0029639D"/>
    <w:rsid w:val="00326F90"/>
    <w:rsid w:val="006015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453BC"/>
  <w14:defaultImageDpi w14:val="300"/>
  <w15:docId w15:val="{E91629C9-BB4C-4BB1-A364-97D74CC5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1233B8"/>
    <w:pPr>
      <w:spacing w:after="100"/>
    </w:pPr>
  </w:style>
  <w:style w:type="character" w:styleId="Hyperlink">
    <w:name w:val="Hyperlink"/>
    <w:basedOn w:val="DefaultParagraphFont"/>
    <w:uiPriority w:val="99"/>
    <w:unhideWhenUsed/>
    <w:rsid w:val="001233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
  <cp:keywords>inférence causale, Weekend, Revenue, DAG, FCI, AIPW</cp:keywords>
  <dc:description/>
  <cp:lastModifiedBy/>
  <cp:revision>2</cp:revision>
  <dcterms:created xsi:type="dcterms:W3CDTF">2026-07-15T00:00:00Z</dcterms:created>
  <dcterms:modified xsi:type="dcterms:W3CDTF">2026-07-15T20:07:00Z</dcterms:modified>
  <cp:category/>
</cp:coreProperties>
</file>