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581BC" w14:textId="77777777">
      <w:pPr>
        <w:spacing w:after="1600"/>
      </w:pPr>
    </w:p>
    <w:p w14:paraId="49DEF6C4" w14:textId="77777777">
      <w:pPr>
        <w:spacing w:after="280"/>
        <w:jc w:val="center"/>
      </w:pPr>
      <w:r>
        <w:rPr>
          <w:b/>
          <w:color w:val="666666"/>
          <w:sz w:val="22"/>
        </w:rPr>
        <w:t>RAPPORT FINAL</w:t>
      </w:r>
    </w:p>
    <w:p w14:paraId="09ADA595" w14:textId="77777777">
      <w:pPr>
        <w:spacing w:after="200"/>
        <w:jc w:val="center"/>
      </w:pPr>
      <w:r>
        <w:rPr>
          <w:b/>
          <w:sz w:val="46"/>
        </w:rPr>
        <w:t>Inférence causale sur les</w:t>
      </w:r>
      <w:r>
        <w:rPr>
          <w:b/>
          <w:sz w:val="46"/>
        </w:rPr>
        <w:br/>
        <w:t>transactions en ligne</w:t>
      </w:r>
    </w:p>
    <w:p w14:paraId="65B5F994" w14:textId="77777777">
      <w:pPr>
        <w:spacing w:after="440"/>
        <w:jc w:val="center"/>
      </w:pPr>
      <w:r>
        <w:rPr>
          <w:i/>
          <w:sz w:val="26"/>
        </w:rPr>
        <w:t>Effet exploratoire d'une session durant le weekend</w:t>
      </w:r>
      <w:r>
        <w:rPr>
          <w:i/>
          <w:sz w:val="26"/>
        </w:rPr>
        <w:br/>
        <w:t>sur la probabilité de transaction</w:t>
      </w:r>
    </w:p>
    <w:p w14:paraId="1134824D" w14:textId="77777777">
      <w:pPr>
        <w:spacing w:after="1440"/>
        <w:jc w:val="center"/>
      </w:pPr>
      <w:r>
        <w:rPr>
          <w:color w:val="666666"/>
          <w:sz w:val="21"/>
        </w:rPr>
        <w:t>Jeu de données : Online Shoppers Purchasing Intention (UCI)</w:t>
      </w:r>
    </w:p>
    <w:p w14:paraId="26778E27" w14:textId="77777777">
      <w:pPr>
        <w:spacing w:after="60"/>
        <w:jc w:val="center"/>
      </w:pPr>
      <w:r>
        <w:rPr>
          <w:b/>
          <w:sz w:val="21"/>
        </w:rPr>
        <w:t>Mohamed Tazi</w:t>
      </w:r>
    </w:p>
    <w:p w14:paraId="53954143" w14:textId="77777777">
      <w:pPr>
        <w:spacing w:after="60"/>
        <w:jc w:val="center"/>
      </w:pPr>
      <w:r>
        <w:rPr>
          <w:sz w:val="21"/>
        </w:rPr>
        <w:t>Cours : Inférence causale</w:t>
      </w:r>
    </w:p>
    <w:p w14:paraId="1FF5920A" w14:textId="77777777">
      <w:pPr>
        <w:spacing w:after="60"/>
        <w:jc w:val="center"/>
      </w:pPr>
      <w:r>
        <w:rPr>
          <w:sz w:val="21"/>
        </w:rPr>
        <w:t>Unité d'analyse : une session de navigation</w:t>
      </w:r>
    </w:p>
    <w:p w14:paraId="2AF05649" w14:textId="77777777">
      <w:pPr>
        <w:spacing w:after="60"/>
        <w:jc w:val="center"/>
      </w:pPr>
      <w:r>
        <w:rPr>
          <w:sz w:val="21"/>
        </w:rPr>
        <w:t>Juillet 2026</w:t>
      </w:r>
    </w:p>
    <w:p w14:paraId="612B0163" w14:textId="77777777">
      <w:r>
        <w:br w:type="page"/>
      </w:r>
    </w:p>
    <w:p w14:paraId="49E12F1F" w14:textId="77777777">
      <w:pPr>
        <w:pStyle w:val="FrontMatterHeading"/>
      </w:pPr>
      <w:r>
        <w:lastRenderedPageBreak/>
        <w:t>Résumé</w:t>
      </w:r>
    </w:p>
    <w:p w14:paraId="5ED99146" w14:textId="77777777">
      <w:r>
        <w:t>Ce rapport étudie une question causale distincte de la prédiction habituelle de Revenue : parmi les sessions éloignées d'un jour commercial spécial, quel serait l'effet moyen du fait qu'une session ait lieu durant le weekend plutôt qu'en semaine sur sa probabilité de se terminer par une transaction ? L'analyse porte sur 11 079 sessions avec SpecialDay=0. Elle combine un graphe causal construit à partir de l'ordre temporel, une découverte exploratoire par FCI, une identification par la porte arrière sous hyp</w:t>
      </w:r>
      <w:r>
        <w:t>othèses et trois estimateurs ajustés : standardisation, IPW de Hájek et AIPW avec prédictions croisées.</w:t>
      </w:r>
    </w:p>
    <w:p w14:paraId="5BA7228A" w14:textId="77777777">
      <w:r>
        <w:t>Le taux observé est de 18,06 % le weekend et de 16,03 % en semaine. L'association brute est de +2,03 points de pourcentage. L'estimation AIPW principale est de +1,51 point, avec un intervalle à 95 % de [-0,18 ; 3,19]. Le recouvrement des scores et l'équilibre des covariables mesurées sont favorables après pondération dans la population restreinte, mais l'intervalle principal contient zéro. Les promotions, les prix, les campagnes et l'intention d'achat préalable ne sont pas observés. La conclusion est donc c</w:t>
      </w:r>
      <w:r>
        <w:t>onditionnelle : les données sont compatibles avec un faible contraste positif, sans permettre d'établir un effet causal moyen différent de zéro.</w:t>
      </w:r>
    </w:p>
    <w:p w14:paraId="35E4E87E" w14:textId="77777777">
      <w:r>
        <w:rPr>
          <w:b/>
        </w:rPr>
        <w:t xml:space="preserve">Mots-clés. </w:t>
      </w:r>
      <w:r>
        <w:t>inférence causale; résultats potentiels; DAG; FCI; score de propension; AIPW.</w:t>
      </w:r>
    </w:p>
    <w:p w14:paraId="29B7F3E1" w14:textId="77777777">
      <w:pPr>
        <w:pStyle w:val="ListParagraph"/>
        <w:keepLines/>
        <w:numPr>
          <w:ilvl w:val="0"/>
          <w:numId w:val="10"/>
        </w:numPr>
        <w:jc w:val="left"/>
      </w:pPr>
      <w:r>
        <w:t>Population principale : 11 079 sessions avec SpecialDay=0.</w:t>
      </w:r>
    </w:p>
    <w:p w14:paraId="1113CADE" w14:textId="77777777">
      <w:pPr>
        <w:pStyle w:val="ListParagraph"/>
        <w:keepLines/>
        <w:numPr>
          <w:ilvl w:val="0"/>
          <w:numId w:val="10"/>
        </w:numPr>
        <w:jc w:val="left"/>
      </w:pPr>
      <w:r>
        <w:t>Estimation AIPW sous hypothèses : +1,506 point; IC 95 % [-0,176 ; 3,188].</w:t>
      </w:r>
    </w:p>
    <w:p w14:paraId="3F5A6F1B" w14:textId="77777777">
      <w:pPr>
        <w:pStyle w:val="ListParagraph"/>
        <w:keepLines/>
        <w:numPr>
          <w:ilvl w:val="0"/>
          <w:numId w:val="10"/>
        </w:numPr>
        <w:jc w:val="left"/>
      </w:pPr>
      <w:r>
        <w:t>SMD absolu maximal : 0,268 avant IPW et 0,040 après IPW.</w:t>
      </w:r>
    </w:p>
    <w:p w14:paraId="0B652B17" w14:textId="77777777">
      <w:pPr>
        <w:pStyle w:val="ListParagraph"/>
        <w:keepLines/>
        <w:numPr>
          <w:ilvl w:val="0"/>
          <w:numId w:val="10"/>
        </w:numPr>
        <w:jc w:val="left"/>
      </w:pPr>
      <w:r>
        <w:t>Portée : effet par session existante, et non effet sur le trafic total ou le chiffre d'affaires.</w:t>
      </w:r>
    </w:p>
    <w:p w14:paraId="4332C162" w14:textId="77777777">
      <w:r>
        <w:br w:type="page"/>
      </w:r>
    </w:p>
    <w:p w14:paraId="0D31B701" w14:textId="77777777">
      <w:pPr>
        <w:pStyle w:val="TOCHeading"/>
      </w:pPr>
      <w:r>
        <w:lastRenderedPageBreak/>
        <w:t>Table des matières</w:t>
      </w:r>
    </w:p>
    <w:p w14:paraId="1B279679" w14:textId="2D68C2FB">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r>
        <w:rPr>
          <w:color w:val="666666"/>
          <w:sz w:val="18"/>
        </w:rPr>
        <w:fldChar w:fldCharType="begin"/>
      </w:r>
      <w:r>
        <w:rPr>
          <w:color w:val="666666"/>
          <w:sz w:val="18"/>
        </w:rPr>
        <w:instrText xml:space="preserve"> TOC \o "1-1" \h \z \u </w:instrText>
      </w:r>
      <w:r>
        <w:rPr>
          <w:color w:val="666666"/>
          <w:sz w:val="18"/>
        </w:rPr>
        <w:fldChar w:fldCharType="separate"/>
      </w:r>
      <w:hyperlink w:anchor="_Toc235024096" w:history="1">
        <w:r>
          <w:rPr>
            <w:rStyle w:val="Hyperlink"/>
            <w:noProof/>
          </w:rPr>
          <w:t>1. Introduction et question causale</w:t>
        </w:r>
        <w:r>
          <w:rPr>
            <w:noProof/>
            <w:webHidden/>
          </w:rPr>
          <w:tab/>
        </w:r>
        <w:r>
          <w:rPr>
            <w:noProof/>
            <w:webHidden/>
          </w:rPr>
          <w:fldChar w:fldCharType="begin"/>
        </w:r>
        <w:r>
          <w:rPr>
            <w:noProof/>
            <w:webHidden/>
          </w:rPr>
          <w:instrText xml:space="preserve"> PAGEREF _Toc235024096 \h </w:instrText>
        </w:r>
        <w:r>
          <w:rPr>
            <w:noProof/>
            <w:webHidden/>
          </w:rPr>
        </w:r>
        <w:r>
          <w:rPr>
            <w:noProof/>
            <w:webHidden/>
          </w:rPr>
          <w:fldChar w:fldCharType="separate"/>
        </w:r>
        <w:r>
          <w:rPr>
            <w:noProof/>
            <w:webHidden/>
          </w:rPr>
          <w:t>1</w:t>
        </w:r>
        <w:r>
          <w:rPr>
            <w:noProof/>
            <w:webHidden/>
          </w:rPr>
          <w:fldChar w:fldCharType="end"/>
        </w:r>
      </w:hyperlink>
    </w:p>
    <w:p w14:paraId="58C44DD0" w14:textId="32C1704E">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097" w:history="1">
        <w:r>
          <w:rPr>
            <w:rStyle w:val="Hyperlink"/>
            <w:noProof/>
          </w:rPr>
          <w:t>2. Données, variables et population cible</w:t>
        </w:r>
        <w:r>
          <w:rPr>
            <w:noProof/>
            <w:webHidden/>
          </w:rPr>
          <w:tab/>
        </w:r>
        <w:r>
          <w:rPr>
            <w:noProof/>
            <w:webHidden/>
          </w:rPr>
          <w:fldChar w:fldCharType="begin"/>
        </w:r>
        <w:r>
          <w:rPr>
            <w:noProof/>
            <w:webHidden/>
          </w:rPr>
          <w:instrText xml:space="preserve"> PAGEREF _Toc235024097 \h </w:instrText>
        </w:r>
        <w:r>
          <w:rPr>
            <w:noProof/>
            <w:webHidden/>
          </w:rPr>
        </w:r>
        <w:r>
          <w:rPr>
            <w:noProof/>
            <w:webHidden/>
          </w:rPr>
          <w:fldChar w:fldCharType="separate"/>
        </w:r>
        <w:r>
          <w:rPr>
            <w:noProof/>
            <w:webHidden/>
          </w:rPr>
          <w:t>1</w:t>
        </w:r>
        <w:r>
          <w:rPr>
            <w:noProof/>
            <w:webHidden/>
          </w:rPr>
          <w:fldChar w:fldCharType="end"/>
        </w:r>
      </w:hyperlink>
    </w:p>
    <w:p w14:paraId="7DEA04B1" w14:textId="51835C96">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098" w:history="1">
        <w:r>
          <w:rPr>
            <w:rStyle w:val="Hyperlink"/>
            <w:noProof/>
          </w:rPr>
          <w:t>3. Connaissances préalables et DAG de domaine</w:t>
        </w:r>
        <w:r>
          <w:rPr>
            <w:noProof/>
            <w:webHidden/>
          </w:rPr>
          <w:tab/>
        </w:r>
        <w:r>
          <w:rPr>
            <w:noProof/>
            <w:webHidden/>
          </w:rPr>
          <w:fldChar w:fldCharType="begin"/>
        </w:r>
        <w:r>
          <w:rPr>
            <w:noProof/>
            <w:webHidden/>
          </w:rPr>
          <w:instrText xml:space="preserve"> PAGEREF _Toc235024098 \h </w:instrText>
        </w:r>
        <w:r>
          <w:rPr>
            <w:noProof/>
            <w:webHidden/>
          </w:rPr>
        </w:r>
        <w:r>
          <w:rPr>
            <w:noProof/>
            <w:webHidden/>
          </w:rPr>
          <w:fldChar w:fldCharType="separate"/>
        </w:r>
        <w:r>
          <w:rPr>
            <w:noProof/>
            <w:webHidden/>
          </w:rPr>
          <w:t>4</w:t>
        </w:r>
        <w:r>
          <w:rPr>
            <w:noProof/>
            <w:webHidden/>
          </w:rPr>
          <w:fldChar w:fldCharType="end"/>
        </w:r>
      </w:hyperlink>
    </w:p>
    <w:p w14:paraId="15C2FC3B" w14:textId="5733AEFF">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099" w:history="1">
        <w:r>
          <w:rPr>
            <w:rStyle w:val="Hyperlink"/>
            <w:noProof/>
          </w:rPr>
          <w:t>4. Découverte causale exploratoire</w:t>
        </w:r>
        <w:r>
          <w:rPr>
            <w:noProof/>
            <w:webHidden/>
          </w:rPr>
          <w:tab/>
        </w:r>
        <w:r>
          <w:rPr>
            <w:noProof/>
            <w:webHidden/>
          </w:rPr>
          <w:fldChar w:fldCharType="begin"/>
        </w:r>
        <w:r>
          <w:rPr>
            <w:noProof/>
            <w:webHidden/>
          </w:rPr>
          <w:instrText xml:space="preserve"> PAGEREF _Toc235024099 \h </w:instrText>
        </w:r>
        <w:r>
          <w:rPr>
            <w:noProof/>
            <w:webHidden/>
          </w:rPr>
        </w:r>
        <w:r>
          <w:rPr>
            <w:noProof/>
            <w:webHidden/>
          </w:rPr>
          <w:fldChar w:fldCharType="separate"/>
        </w:r>
        <w:r>
          <w:rPr>
            <w:noProof/>
            <w:webHidden/>
          </w:rPr>
          <w:t>5</w:t>
        </w:r>
        <w:r>
          <w:rPr>
            <w:noProof/>
            <w:webHidden/>
          </w:rPr>
          <w:fldChar w:fldCharType="end"/>
        </w:r>
      </w:hyperlink>
    </w:p>
    <w:p w14:paraId="745315B5" w14:textId="00CDD6BD">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0" w:history="1">
        <w:r>
          <w:rPr>
            <w:rStyle w:val="Hyperlink"/>
            <w:noProof/>
          </w:rPr>
          <w:t>5. Cadre causal et stratégie d'identification</w:t>
        </w:r>
        <w:r>
          <w:rPr>
            <w:noProof/>
            <w:webHidden/>
          </w:rPr>
          <w:tab/>
        </w:r>
        <w:r>
          <w:rPr>
            <w:noProof/>
            <w:webHidden/>
          </w:rPr>
          <w:fldChar w:fldCharType="begin"/>
        </w:r>
        <w:r>
          <w:rPr>
            <w:noProof/>
            <w:webHidden/>
          </w:rPr>
          <w:instrText xml:space="preserve"> PAGEREF _Toc235024100 \h </w:instrText>
        </w:r>
        <w:r>
          <w:rPr>
            <w:noProof/>
            <w:webHidden/>
          </w:rPr>
        </w:r>
        <w:r>
          <w:rPr>
            <w:noProof/>
            <w:webHidden/>
          </w:rPr>
          <w:fldChar w:fldCharType="separate"/>
        </w:r>
        <w:r>
          <w:rPr>
            <w:noProof/>
            <w:webHidden/>
          </w:rPr>
          <w:t>7</w:t>
        </w:r>
        <w:r>
          <w:rPr>
            <w:noProof/>
            <w:webHidden/>
          </w:rPr>
          <w:fldChar w:fldCharType="end"/>
        </w:r>
      </w:hyperlink>
    </w:p>
    <w:p w14:paraId="3274BC63" w14:textId="53D134DE">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1" w:history="1">
        <w:r>
          <w:rPr>
            <w:rStyle w:val="Hyperlink"/>
            <w:noProof/>
          </w:rPr>
          <w:t>6. Estimation et diagnostics</w:t>
        </w:r>
        <w:r>
          <w:rPr>
            <w:noProof/>
            <w:webHidden/>
          </w:rPr>
          <w:tab/>
        </w:r>
        <w:r>
          <w:rPr>
            <w:noProof/>
            <w:webHidden/>
          </w:rPr>
          <w:fldChar w:fldCharType="begin"/>
        </w:r>
        <w:r>
          <w:rPr>
            <w:noProof/>
            <w:webHidden/>
          </w:rPr>
          <w:instrText xml:space="preserve"> PAGEREF _Toc235024101 \h </w:instrText>
        </w:r>
        <w:r>
          <w:rPr>
            <w:noProof/>
            <w:webHidden/>
          </w:rPr>
        </w:r>
        <w:r>
          <w:rPr>
            <w:noProof/>
            <w:webHidden/>
          </w:rPr>
          <w:fldChar w:fldCharType="separate"/>
        </w:r>
        <w:r>
          <w:rPr>
            <w:noProof/>
            <w:webHidden/>
          </w:rPr>
          <w:t>8</w:t>
        </w:r>
        <w:r>
          <w:rPr>
            <w:noProof/>
            <w:webHidden/>
          </w:rPr>
          <w:fldChar w:fldCharType="end"/>
        </w:r>
      </w:hyperlink>
    </w:p>
    <w:p w14:paraId="436BF0B7" w14:textId="6444ACB3">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2" w:history="1">
        <w:r>
          <w:rPr>
            <w:rStyle w:val="Hyperlink"/>
            <w:noProof/>
          </w:rPr>
          <w:t>7. Résultats et analyses de robustesse</w:t>
        </w:r>
        <w:r>
          <w:rPr>
            <w:noProof/>
            <w:webHidden/>
          </w:rPr>
          <w:tab/>
        </w:r>
        <w:r>
          <w:rPr>
            <w:noProof/>
            <w:webHidden/>
          </w:rPr>
          <w:fldChar w:fldCharType="begin"/>
        </w:r>
        <w:r>
          <w:rPr>
            <w:noProof/>
            <w:webHidden/>
          </w:rPr>
          <w:instrText xml:space="preserve"> PAGEREF _Toc235024102 \h </w:instrText>
        </w:r>
        <w:r>
          <w:rPr>
            <w:noProof/>
            <w:webHidden/>
          </w:rPr>
        </w:r>
        <w:r>
          <w:rPr>
            <w:noProof/>
            <w:webHidden/>
          </w:rPr>
          <w:fldChar w:fldCharType="separate"/>
        </w:r>
        <w:r>
          <w:rPr>
            <w:noProof/>
            <w:webHidden/>
          </w:rPr>
          <w:t>12</w:t>
        </w:r>
        <w:r>
          <w:rPr>
            <w:noProof/>
            <w:webHidden/>
          </w:rPr>
          <w:fldChar w:fldCharType="end"/>
        </w:r>
      </w:hyperlink>
    </w:p>
    <w:p w14:paraId="1EFE72A6" w14:textId="1D73D969">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3" w:history="1">
        <w:r>
          <w:rPr>
            <w:rStyle w:val="Hyperlink"/>
            <w:noProof/>
          </w:rPr>
          <w:t>8. Discussion et limites</w:t>
        </w:r>
        <w:r>
          <w:rPr>
            <w:noProof/>
            <w:webHidden/>
          </w:rPr>
          <w:tab/>
        </w:r>
        <w:r>
          <w:rPr>
            <w:noProof/>
            <w:webHidden/>
          </w:rPr>
          <w:fldChar w:fldCharType="begin"/>
        </w:r>
        <w:r>
          <w:rPr>
            <w:noProof/>
            <w:webHidden/>
          </w:rPr>
          <w:instrText xml:space="preserve"> PAGEREF _Toc235024103 \h </w:instrText>
        </w:r>
        <w:r>
          <w:rPr>
            <w:noProof/>
            <w:webHidden/>
          </w:rPr>
        </w:r>
        <w:r>
          <w:rPr>
            <w:noProof/>
            <w:webHidden/>
          </w:rPr>
          <w:fldChar w:fldCharType="separate"/>
        </w:r>
        <w:r>
          <w:rPr>
            <w:noProof/>
            <w:webHidden/>
          </w:rPr>
          <w:t>14</w:t>
        </w:r>
        <w:r>
          <w:rPr>
            <w:noProof/>
            <w:webHidden/>
          </w:rPr>
          <w:fldChar w:fldCharType="end"/>
        </w:r>
      </w:hyperlink>
    </w:p>
    <w:p w14:paraId="22811FCD" w14:textId="3A935FA4">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4" w:history="1">
        <w:r>
          <w:rPr>
            <w:rStyle w:val="Hyperlink"/>
            <w:noProof/>
          </w:rPr>
          <w:t>9. Reproductibilité</w:t>
        </w:r>
        <w:r>
          <w:rPr>
            <w:noProof/>
            <w:webHidden/>
          </w:rPr>
          <w:tab/>
        </w:r>
        <w:r>
          <w:rPr>
            <w:noProof/>
            <w:webHidden/>
          </w:rPr>
          <w:fldChar w:fldCharType="begin"/>
        </w:r>
        <w:r>
          <w:rPr>
            <w:noProof/>
            <w:webHidden/>
          </w:rPr>
          <w:instrText xml:space="preserve"> PAGEREF _Toc235024104 \h </w:instrText>
        </w:r>
        <w:r>
          <w:rPr>
            <w:noProof/>
            <w:webHidden/>
          </w:rPr>
        </w:r>
        <w:r>
          <w:rPr>
            <w:noProof/>
            <w:webHidden/>
          </w:rPr>
          <w:fldChar w:fldCharType="separate"/>
        </w:r>
        <w:r>
          <w:rPr>
            <w:noProof/>
            <w:webHidden/>
          </w:rPr>
          <w:t>15</w:t>
        </w:r>
        <w:r>
          <w:rPr>
            <w:noProof/>
            <w:webHidden/>
          </w:rPr>
          <w:fldChar w:fldCharType="end"/>
        </w:r>
      </w:hyperlink>
    </w:p>
    <w:p w14:paraId="4EADB89D" w14:textId="3290CF5C">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5" w:history="1">
        <w:r>
          <w:rPr>
            <w:rStyle w:val="Hyperlink"/>
            <w:noProof/>
          </w:rPr>
          <w:t>10. Conclusion</w:t>
        </w:r>
        <w:r>
          <w:rPr>
            <w:noProof/>
            <w:webHidden/>
          </w:rPr>
          <w:tab/>
        </w:r>
        <w:r>
          <w:rPr>
            <w:noProof/>
            <w:webHidden/>
          </w:rPr>
          <w:fldChar w:fldCharType="begin"/>
        </w:r>
        <w:r>
          <w:rPr>
            <w:noProof/>
            <w:webHidden/>
          </w:rPr>
          <w:instrText xml:space="preserve"> PAGEREF _Toc235024105 \h </w:instrText>
        </w:r>
        <w:r>
          <w:rPr>
            <w:noProof/>
            <w:webHidden/>
          </w:rPr>
        </w:r>
        <w:r>
          <w:rPr>
            <w:noProof/>
            <w:webHidden/>
          </w:rPr>
          <w:fldChar w:fldCharType="separate"/>
        </w:r>
        <w:r>
          <w:rPr>
            <w:noProof/>
            <w:webHidden/>
          </w:rPr>
          <w:t>15</w:t>
        </w:r>
        <w:r>
          <w:rPr>
            <w:noProof/>
            <w:webHidden/>
          </w:rPr>
          <w:fldChar w:fldCharType="end"/>
        </w:r>
      </w:hyperlink>
    </w:p>
    <w:p w14:paraId="79904143" w14:textId="74FD1FB3">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6" w:history="1">
        <w:r>
          <w:rPr>
            <w:rStyle w:val="Hyperlink"/>
            <w:noProof/>
          </w:rPr>
          <w:t>Références</w:t>
        </w:r>
        <w:r>
          <w:rPr>
            <w:noProof/>
            <w:webHidden/>
          </w:rPr>
          <w:tab/>
        </w:r>
        <w:r>
          <w:rPr>
            <w:noProof/>
            <w:webHidden/>
          </w:rPr>
          <w:fldChar w:fldCharType="begin"/>
        </w:r>
        <w:r>
          <w:rPr>
            <w:noProof/>
            <w:webHidden/>
          </w:rPr>
          <w:instrText xml:space="preserve"> PAGEREF _Toc235024106 \h </w:instrText>
        </w:r>
        <w:r>
          <w:rPr>
            <w:noProof/>
            <w:webHidden/>
          </w:rPr>
        </w:r>
        <w:r>
          <w:rPr>
            <w:noProof/>
            <w:webHidden/>
          </w:rPr>
          <w:fldChar w:fldCharType="separate"/>
        </w:r>
        <w:r>
          <w:rPr>
            <w:noProof/>
            <w:webHidden/>
          </w:rPr>
          <w:t>16</w:t>
        </w:r>
        <w:r>
          <w:rPr>
            <w:noProof/>
            <w:webHidden/>
          </w:rPr>
          <w:fldChar w:fldCharType="end"/>
        </w:r>
      </w:hyperlink>
    </w:p>
    <w:p w14:paraId="2E24AC90" w14:textId="3BE1B9CE">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7" w:history="1">
        <w:r>
          <w:rPr>
            <w:rStyle w:val="Hyperlink"/>
            <w:noProof/>
          </w:rPr>
          <w:t>Annexe A. Arêtes du PAG FCI</w:t>
        </w:r>
        <w:r>
          <w:rPr>
            <w:noProof/>
            <w:webHidden/>
          </w:rPr>
          <w:tab/>
        </w:r>
        <w:r>
          <w:rPr>
            <w:noProof/>
            <w:webHidden/>
          </w:rPr>
          <w:fldChar w:fldCharType="begin"/>
        </w:r>
        <w:r>
          <w:rPr>
            <w:noProof/>
            <w:webHidden/>
          </w:rPr>
          <w:instrText xml:space="preserve"> PAGEREF _Toc235024107 \h </w:instrText>
        </w:r>
        <w:r>
          <w:rPr>
            <w:noProof/>
            <w:webHidden/>
          </w:rPr>
        </w:r>
        <w:r>
          <w:rPr>
            <w:noProof/>
            <w:webHidden/>
          </w:rPr>
          <w:fldChar w:fldCharType="separate"/>
        </w:r>
        <w:r>
          <w:rPr>
            <w:noProof/>
            <w:webHidden/>
          </w:rPr>
          <w:t>17</w:t>
        </w:r>
        <w:r>
          <w:rPr>
            <w:noProof/>
            <w:webHidden/>
          </w:rPr>
          <w:fldChar w:fldCharType="end"/>
        </w:r>
      </w:hyperlink>
    </w:p>
    <w:p w14:paraId="0716798B" w14:textId="4FFCE8A7">
      <w:pPr>
        <w:spacing w:after="0"/>
      </w:pPr>
      <w:r>
        <w:rPr>
          <w:color w:val="666666"/>
          <w:sz w:val="18"/>
        </w:rPr>
        <w:fldChar w:fldCharType="end"/>
      </w:r>
    </w:p>
    <w:p w14:paraId="044189A4" w14:textId="77777777">
      <w:pPr>
        <w:sectPr>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pPr>
    </w:p>
    <w:p w14:paraId="6149F845" w14:textId="77777777">
      <w:pPr>
        <w:pStyle w:val="Heading1"/>
      </w:pPr>
      <w:bookmarkStart w:id="0" w:name="_Toc235024096"/>
      <w:r>
        <w:lastRenderedPageBreak/>
        <w:t>1. Introduction et question causale</w:t>
      </w:r>
      <w:bookmarkEnd w:id="0"/>
    </w:p>
    <w:p w14:paraId="6DC668E6" w14:textId="77777777">
      <w:pPr>
        <w:pStyle w:val="Heading2"/>
      </w:pPr>
      <w:r>
        <w:t>1.1 Contexte et pertinence</w:t>
      </w:r>
    </w:p>
    <w:p w14:paraId="6FB326BA" w14:textId="77777777">
      <w:r>
        <w:t>Le commerce électronique utilise fréquemment les traces de navigation pour prédire si une visite se terminera par un achat. Une bonne prédiction ne répond cependant pas à la question de savoir ce qui changerait si l'on modifiait le moment de la visite. Des variables comme PageValues ou la durée passée sur certaines pages peuvent être très prédictives tout en étant impropres à l'ajustement causal, parce qu'elles sont mesurées pendant la session ou construites à partir d'informations proches de la transaction</w:t>
      </w:r>
      <w:r>
        <w:t>.</w:t>
      </w:r>
    </w:p>
    <w:p w14:paraId="46E1B26B" w14:textId="77777777">
      <w:r>
        <w:t>Le contraste semaine-weekend est pertinent pour une décision appliquée : il peut aider à formuler une hypothèse sur le calendrier des opérations, des campagnes ou de la capacité du site. La base reste toutefois observationnelle et anonyme. Elle ne contient ni assignation aléatoire, ni prix, ni promotion, ni heure exacte. Le rapport sépare donc systématiquement association observée, identification sous hypothèses et conclusion causale.</w:t>
      </w:r>
    </w:p>
    <w:p w14:paraId="5B868EA8" w14:textId="77777777">
      <w:pPr>
        <w:pStyle w:val="Heading2"/>
      </w:pPr>
      <w:r>
        <w:t>1.2 Question, intervention et portée</w:t>
      </w:r>
    </w:p>
    <w:p w14:paraId="541BB06D" w14:textId="77777777">
      <w:pPr>
        <w:pStyle w:val="AcademicQuote"/>
      </w:pPr>
      <w:r>
        <w:t>Parmi les sessions avec SpecialDay=0, quel serait l'effet moyen du fait qu'une session ait lieu durant le weekend plutôt qu'en semaine sur la probabilité qu'elle se termine par une transaction ?</w:t>
      </w:r>
    </w:p>
    <w:p w14:paraId="454C26EE" w14:textId="77777777">
      <w:r>
        <w:t xml:space="preserve">L'unité est une session de navigation. Weekend est une exposition calendaire, plutôt qu'un traitement réellement administré. L'intervention hypothétique compare deux moments possibles dans le même mois, l'un en semaine et l'autre durant le weekend, tous deux avec SpecialDay=0, en conservant le profil pré-session et, dans l'analyse principale, le canal d'acquisition. Cette définition rend la comparaison plus précise, mais elle ne décrit pas toutes les façons possibles de faire survenir une session durant le </w:t>
      </w:r>
      <w:r>
        <w:t>weekend.</w:t>
      </w:r>
    </w:p>
    <w:p w14:paraId="157E506E" w14:textId="77777777">
      <w:r>
        <w:t>Le résultat Revenue indique seulement si une transaction a eu lieu. Il ne représente ni un montant, ni une intention psychologique déclarée. L'effet visé concerne la probabilité d'achat parmi des sessions déjà présentes. Il ne mesure pas un effet du weekend sur le nombre de visiteurs, le nombre total de transactions ou le chiffre d'affaires du site.</w:t>
      </w:r>
    </w:p>
    <w:p w14:paraId="29E048E1" w14:textId="77777777">
      <w:pPr>
        <w:pStyle w:val="Heading1"/>
      </w:pPr>
      <w:bookmarkStart w:id="1" w:name="_Toc235024097"/>
      <w:r>
        <w:t>2. Données, variables et population cible</w:t>
      </w:r>
      <w:bookmarkEnd w:id="1"/>
    </w:p>
    <w:p w14:paraId="1C58AD11" w14:textId="77777777">
      <w:pPr>
        <w:pStyle w:val="Heading2"/>
      </w:pPr>
      <w:r>
        <w:t>2.1 Provenance et contrôles</w:t>
      </w:r>
    </w:p>
    <w:p w14:paraId="10F42A0A" w14:textId="77777777">
      <w:r>
        <w:t>Le fichier provient du jeu Online Shoppers Purchasing Intention du UCI Machine Learning Repository, jeu no 468 [1]. Il rassemble des sessions observées sur une année. Selon la documentation du jeu, chaque session correspond à un utilisateur distinct dans la construction de la base [1, 2]. La copie locale est protégée par une empreinte SHA-256 vérifiée avant l'analyse.</w:t>
      </w:r>
    </w:p>
    <w:p w14:paraId="01FD7257" w14:textId="77777777">
      <w:pPr>
        <w:pStyle w:val="TableCaption"/>
      </w:pPr>
      <w:r>
        <w:lastRenderedPageBreak/>
        <w:t>Tableau 1. Contrôles de la base brute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14:paraId="3FAAE4B9" w14:textId="77777777">
        <w:trPr>
          <w:cantSplit/>
          <w:tblHeader/>
        </w:trPr>
        <w:tc>
          <w:tcPr>
            <w:tcW w:w="6500" w:type="dxa"/>
            <w:shd w:val="clear" w:color="auto" w:fill="E7E6E6"/>
            <w:tcMar>
              <w:top w:w="90" w:type="dxa"/>
              <w:left w:w="120" w:type="dxa"/>
              <w:bottom w:w="90" w:type="dxa"/>
              <w:right w:w="120" w:type="dxa"/>
            </w:tcMar>
            <w:vAlign w:val="center"/>
          </w:tcPr>
          <w:p w14:paraId="731829A0" w14:textId="77777777">
            <w:pPr>
              <w:keepNext/>
              <w:keepLines/>
              <w:spacing w:after="0" w:line="252" w:lineRule="auto"/>
              <w:jc w:val="left"/>
            </w:pPr>
            <w:r>
              <w:rPr>
                <w:b/>
                <w:sz w:val="19"/>
              </w:rPr>
              <w:t>Indicateur</w:t>
            </w:r>
          </w:p>
        </w:tc>
        <w:tc>
          <w:tcPr>
            <w:tcW w:w="2860" w:type="dxa"/>
            <w:shd w:val="clear" w:color="auto" w:fill="E7E6E6"/>
            <w:tcMar>
              <w:top w:w="90" w:type="dxa"/>
              <w:left w:w="120" w:type="dxa"/>
              <w:bottom w:w="90" w:type="dxa"/>
              <w:right w:w="120" w:type="dxa"/>
            </w:tcMar>
            <w:vAlign w:val="center"/>
          </w:tcPr>
          <w:p w14:paraId="0101DDE9" w14:textId="77777777">
            <w:pPr>
              <w:keepNext/>
              <w:keepLines/>
              <w:spacing w:after="0" w:line="252" w:lineRule="auto"/>
              <w:jc w:val="right"/>
            </w:pPr>
            <w:r>
              <w:rPr>
                <w:b/>
                <w:sz w:val="19"/>
              </w:rPr>
              <w:t>Valeur</w:t>
            </w:r>
          </w:p>
        </w:tc>
      </w:tr>
      <w:tr w14:paraId="23CEBCEF" w14:textId="77777777">
        <w:trPr>
          <w:cantSplit/>
        </w:trPr>
        <w:tc>
          <w:tcPr>
            <w:tcW w:w="6500" w:type="dxa"/>
            <w:tcMar>
              <w:top w:w="90" w:type="dxa"/>
              <w:left w:w="120" w:type="dxa"/>
              <w:bottom w:w="90" w:type="dxa"/>
              <w:right w:w="120" w:type="dxa"/>
            </w:tcMar>
            <w:vAlign w:val="center"/>
          </w:tcPr>
          <w:p w14:paraId="1A156613" w14:textId="77777777">
            <w:pPr>
              <w:keepNext/>
              <w:keepLines/>
              <w:spacing w:after="0" w:line="252" w:lineRule="auto"/>
              <w:jc w:val="left"/>
            </w:pPr>
            <w:r>
              <w:rPr>
                <w:sz w:val="19"/>
              </w:rPr>
              <w:t>Sessions</w:t>
            </w:r>
          </w:p>
        </w:tc>
        <w:tc>
          <w:tcPr>
            <w:tcW w:w="2860" w:type="dxa"/>
            <w:tcMar>
              <w:top w:w="90" w:type="dxa"/>
              <w:left w:w="120" w:type="dxa"/>
              <w:bottom w:w="90" w:type="dxa"/>
              <w:right w:w="120" w:type="dxa"/>
            </w:tcMar>
            <w:vAlign w:val="center"/>
          </w:tcPr>
          <w:p w14:paraId="41F9B62D" w14:textId="77777777">
            <w:pPr>
              <w:keepNext/>
              <w:keepLines/>
              <w:spacing w:after="0" w:line="252" w:lineRule="auto"/>
              <w:jc w:val="right"/>
            </w:pPr>
            <w:r>
              <w:rPr>
                <w:sz w:val="19"/>
              </w:rPr>
              <w:t>12 330</w:t>
            </w:r>
          </w:p>
        </w:tc>
      </w:tr>
      <w:tr w14:paraId="19F07CCA" w14:textId="77777777">
        <w:trPr>
          <w:cantSplit/>
        </w:trPr>
        <w:tc>
          <w:tcPr>
            <w:tcW w:w="6500" w:type="dxa"/>
            <w:shd w:val="clear" w:color="auto" w:fill="F7F7F7"/>
            <w:tcMar>
              <w:top w:w="90" w:type="dxa"/>
              <w:left w:w="120" w:type="dxa"/>
              <w:bottom w:w="90" w:type="dxa"/>
              <w:right w:w="120" w:type="dxa"/>
            </w:tcMar>
            <w:vAlign w:val="center"/>
          </w:tcPr>
          <w:p w14:paraId="4D32D578" w14:textId="77777777">
            <w:pPr>
              <w:keepNext/>
              <w:keepLines/>
              <w:spacing w:after="0" w:line="252" w:lineRule="auto"/>
              <w:jc w:val="left"/>
            </w:pPr>
            <w:r>
              <w:rPr>
                <w:sz w:val="19"/>
              </w:rPr>
              <w:t>Colonnes</w:t>
            </w:r>
          </w:p>
        </w:tc>
        <w:tc>
          <w:tcPr>
            <w:tcW w:w="2860" w:type="dxa"/>
            <w:shd w:val="clear" w:color="auto" w:fill="F7F7F7"/>
            <w:tcMar>
              <w:top w:w="90" w:type="dxa"/>
              <w:left w:w="120" w:type="dxa"/>
              <w:bottom w:w="90" w:type="dxa"/>
              <w:right w:w="120" w:type="dxa"/>
            </w:tcMar>
            <w:vAlign w:val="center"/>
          </w:tcPr>
          <w:p w14:paraId="323442B9" w14:textId="77777777">
            <w:pPr>
              <w:keepNext/>
              <w:keepLines/>
              <w:spacing w:after="0" w:line="252" w:lineRule="auto"/>
              <w:jc w:val="right"/>
            </w:pPr>
            <w:r>
              <w:rPr>
                <w:sz w:val="19"/>
              </w:rPr>
              <w:t>18</w:t>
            </w:r>
          </w:p>
        </w:tc>
      </w:tr>
      <w:tr w14:paraId="4B4560D5" w14:textId="77777777">
        <w:trPr>
          <w:cantSplit/>
        </w:trPr>
        <w:tc>
          <w:tcPr>
            <w:tcW w:w="6500" w:type="dxa"/>
            <w:tcMar>
              <w:top w:w="90" w:type="dxa"/>
              <w:left w:w="120" w:type="dxa"/>
              <w:bottom w:w="90" w:type="dxa"/>
              <w:right w:w="120" w:type="dxa"/>
            </w:tcMar>
            <w:vAlign w:val="center"/>
          </w:tcPr>
          <w:p w14:paraId="39F01318" w14:textId="77777777">
            <w:pPr>
              <w:keepNext/>
              <w:keepLines/>
              <w:spacing w:after="0" w:line="252" w:lineRule="auto"/>
              <w:jc w:val="left"/>
            </w:pPr>
            <w:r>
              <w:rPr>
                <w:sz w:val="19"/>
              </w:rPr>
              <w:t>Variables explicatives</w:t>
            </w:r>
          </w:p>
        </w:tc>
        <w:tc>
          <w:tcPr>
            <w:tcW w:w="2860" w:type="dxa"/>
            <w:tcMar>
              <w:top w:w="90" w:type="dxa"/>
              <w:left w:w="120" w:type="dxa"/>
              <w:bottom w:w="90" w:type="dxa"/>
              <w:right w:w="120" w:type="dxa"/>
            </w:tcMar>
            <w:vAlign w:val="center"/>
          </w:tcPr>
          <w:p w14:paraId="4A196506" w14:textId="77777777">
            <w:pPr>
              <w:keepNext/>
              <w:keepLines/>
              <w:spacing w:after="0" w:line="252" w:lineRule="auto"/>
              <w:jc w:val="right"/>
            </w:pPr>
            <w:r>
              <w:rPr>
                <w:sz w:val="19"/>
              </w:rPr>
              <w:t>17</w:t>
            </w:r>
          </w:p>
        </w:tc>
      </w:tr>
      <w:tr w14:paraId="298FACE7" w14:textId="77777777">
        <w:trPr>
          <w:cantSplit/>
        </w:trPr>
        <w:tc>
          <w:tcPr>
            <w:tcW w:w="6500" w:type="dxa"/>
            <w:shd w:val="clear" w:color="auto" w:fill="F7F7F7"/>
            <w:tcMar>
              <w:top w:w="90" w:type="dxa"/>
              <w:left w:w="120" w:type="dxa"/>
              <w:bottom w:w="90" w:type="dxa"/>
              <w:right w:w="120" w:type="dxa"/>
            </w:tcMar>
            <w:vAlign w:val="center"/>
          </w:tcPr>
          <w:p w14:paraId="3FA0BA6C" w14:textId="77777777">
            <w:pPr>
              <w:keepNext/>
              <w:keepLines/>
              <w:spacing w:after="0" w:line="252" w:lineRule="auto"/>
              <w:jc w:val="left"/>
            </w:pPr>
            <w:r>
              <w:rPr>
                <w:sz w:val="19"/>
              </w:rPr>
              <w:t>Valeurs manquantes</w:t>
            </w:r>
          </w:p>
        </w:tc>
        <w:tc>
          <w:tcPr>
            <w:tcW w:w="2860" w:type="dxa"/>
            <w:shd w:val="clear" w:color="auto" w:fill="F7F7F7"/>
            <w:tcMar>
              <w:top w:w="90" w:type="dxa"/>
              <w:left w:w="120" w:type="dxa"/>
              <w:bottom w:w="90" w:type="dxa"/>
              <w:right w:w="120" w:type="dxa"/>
            </w:tcMar>
            <w:vAlign w:val="center"/>
          </w:tcPr>
          <w:p w14:paraId="141CA26B" w14:textId="77777777">
            <w:pPr>
              <w:keepNext/>
              <w:keepLines/>
              <w:spacing w:after="0" w:line="252" w:lineRule="auto"/>
              <w:jc w:val="right"/>
            </w:pPr>
            <w:r>
              <w:rPr>
                <w:sz w:val="19"/>
              </w:rPr>
              <w:t>0</w:t>
            </w:r>
          </w:p>
        </w:tc>
      </w:tr>
      <w:tr w14:paraId="4B86005F" w14:textId="77777777">
        <w:trPr>
          <w:cantSplit/>
        </w:trPr>
        <w:tc>
          <w:tcPr>
            <w:tcW w:w="6500" w:type="dxa"/>
            <w:tcMar>
              <w:top w:w="90" w:type="dxa"/>
              <w:left w:w="120" w:type="dxa"/>
              <w:bottom w:w="90" w:type="dxa"/>
              <w:right w:w="120" w:type="dxa"/>
            </w:tcMar>
            <w:vAlign w:val="center"/>
          </w:tcPr>
          <w:p w14:paraId="07E8DF15" w14:textId="77777777">
            <w:pPr>
              <w:keepNext/>
              <w:keepLines/>
              <w:spacing w:after="0" w:line="252" w:lineRule="auto"/>
              <w:jc w:val="left"/>
            </w:pPr>
            <w:r>
              <w:rPr>
                <w:sz w:val="19"/>
              </w:rPr>
              <w:t>Lignes exactement identiques</w:t>
            </w:r>
          </w:p>
        </w:tc>
        <w:tc>
          <w:tcPr>
            <w:tcW w:w="2860" w:type="dxa"/>
            <w:tcMar>
              <w:top w:w="90" w:type="dxa"/>
              <w:left w:w="120" w:type="dxa"/>
              <w:bottom w:w="90" w:type="dxa"/>
              <w:right w:w="120" w:type="dxa"/>
            </w:tcMar>
            <w:vAlign w:val="center"/>
          </w:tcPr>
          <w:p w14:paraId="0BC2CED9" w14:textId="77777777">
            <w:pPr>
              <w:keepNext/>
              <w:keepLines/>
              <w:spacing w:after="0" w:line="252" w:lineRule="auto"/>
              <w:jc w:val="right"/>
            </w:pPr>
            <w:r>
              <w:rPr>
                <w:sz w:val="19"/>
              </w:rPr>
              <w:t>125</w:t>
            </w:r>
          </w:p>
        </w:tc>
      </w:tr>
      <w:tr w14:paraId="24A3F581" w14:textId="77777777">
        <w:trPr>
          <w:cantSplit/>
        </w:trPr>
        <w:tc>
          <w:tcPr>
            <w:tcW w:w="6500" w:type="dxa"/>
            <w:shd w:val="clear" w:color="auto" w:fill="F7F7F7"/>
            <w:tcMar>
              <w:top w:w="90" w:type="dxa"/>
              <w:left w:w="120" w:type="dxa"/>
              <w:bottom w:w="90" w:type="dxa"/>
              <w:right w:w="120" w:type="dxa"/>
            </w:tcMar>
            <w:vAlign w:val="center"/>
          </w:tcPr>
          <w:p w14:paraId="6EC9166C" w14:textId="77777777">
            <w:pPr>
              <w:keepNext/>
              <w:keepLines/>
              <w:spacing w:after="0" w:line="252" w:lineRule="auto"/>
              <w:jc w:val="left"/>
            </w:pPr>
            <w:r>
              <w:rPr>
                <w:sz w:val="19"/>
              </w:rPr>
              <w:t>Transactions</w:t>
            </w:r>
          </w:p>
        </w:tc>
        <w:tc>
          <w:tcPr>
            <w:tcW w:w="2860" w:type="dxa"/>
            <w:shd w:val="clear" w:color="auto" w:fill="F7F7F7"/>
            <w:tcMar>
              <w:top w:w="90" w:type="dxa"/>
              <w:left w:w="120" w:type="dxa"/>
              <w:bottom w:w="90" w:type="dxa"/>
              <w:right w:w="120" w:type="dxa"/>
            </w:tcMar>
            <w:vAlign w:val="center"/>
          </w:tcPr>
          <w:p w14:paraId="336E2C3D" w14:textId="77777777">
            <w:pPr>
              <w:keepNext/>
              <w:keepLines/>
              <w:spacing w:after="0" w:line="252" w:lineRule="auto"/>
              <w:jc w:val="right"/>
            </w:pPr>
            <w:r>
              <w:rPr>
                <w:sz w:val="19"/>
              </w:rPr>
              <w:t>1 908</w:t>
            </w:r>
          </w:p>
        </w:tc>
      </w:tr>
      <w:tr w14:paraId="70CE516E" w14:textId="77777777">
        <w:trPr>
          <w:cantSplit/>
        </w:trPr>
        <w:tc>
          <w:tcPr>
            <w:tcW w:w="6500" w:type="dxa"/>
            <w:tcMar>
              <w:top w:w="90" w:type="dxa"/>
              <w:left w:w="120" w:type="dxa"/>
              <w:bottom w:w="90" w:type="dxa"/>
              <w:right w:w="120" w:type="dxa"/>
            </w:tcMar>
            <w:vAlign w:val="center"/>
          </w:tcPr>
          <w:p w14:paraId="410E2B6F" w14:textId="77777777">
            <w:pPr>
              <w:keepNext/>
              <w:keepLines/>
              <w:spacing w:after="0" w:line="252" w:lineRule="auto"/>
              <w:jc w:val="left"/>
            </w:pPr>
            <w:r>
              <w:rPr>
                <w:sz w:val="19"/>
              </w:rPr>
              <w:t>Taux de transaction</w:t>
            </w:r>
          </w:p>
        </w:tc>
        <w:tc>
          <w:tcPr>
            <w:tcW w:w="2860" w:type="dxa"/>
            <w:tcMar>
              <w:top w:w="90" w:type="dxa"/>
              <w:left w:w="120" w:type="dxa"/>
              <w:bottom w:w="90" w:type="dxa"/>
              <w:right w:w="120" w:type="dxa"/>
            </w:tcMar>
            <w:vAlign w:val="center"/>
          </w:tcPr>
          <w:p w14:paraId="57A5056F" w14:textId="77777777">
            <w:pPr>
              <w:keepNext/>
              <w:keepLines/>
              <w:spacing w:after="0" w:line="252" w:lineRule="auto"/>
              <w:jc w:val="right"/>
            </w:pPr>
            <w:r>
              <w:rPr>
                <w:sz w:val="19"/>
              </w:rPr>
              <w:t>15,47 %</w:t>
            </w:r>
          </w:p>
        </w:tc>
      </w:tr>
    </w:tbl>
    <w:p w14:paraId="3616EE8F" w14:textId="77777777">
      <w:pPr>
        <w:pStyle w:val="Source"/>
      </w:pPr>
      <w:r>
        <w:t>Source : contrôles exécutés dans le notebook final; N = 12 330.</w:t>
      </w:r>
    </w:p>
    <w:p w14:paraId="28CAB8B2" w14:textId="77777777">
      <w:r>
        <w:t>Aucune valeur manquante n'est observée. Les 125 lignes exactement identiques sont conservées dans l'analyse principale, car elles peuvent correspondre à des sessions distinctes ayant les mêmes valeurs anonymisées. Une analyse de sensibilité les retire afin de vérifier leur influence.</w:t>
      </w:r>
    </w:p>
    <w:p w14:paraId="041C48DA" w14:textId="77777777">
      <w:r>
        <w:rPr>
          <w:b/>
        </w:rPr>
        <w:t xml:space="preserve">Empreinte SHA-256. </w:t>
      </w:r>
      <w:r>
        <w:t>la copie analysée est identifiée par l'empreinte suivante :</w:t>
      </w:r>
    </w:p>
    <w:p w14:paraId="4C2391E9" w14:textId="77777777">
      <w:pPr>
        <w:pStyle w:val="AcademicCode"/>
      </w:pPr>
      <w:r>
        <w:t>b3055ee355f59134d851d32641183cb4a8b45def7124d2f50442a042f358e0d9</w:t>
      </w:r>
    </w:p>
    <w:p w14:paraId="0BA172C3" w14:textId="77777777">
      <w:pPr>
        <w:pStyle w:val="Heading2"/>
      </w:pPr>
      <w:r>
        <w:t>2.2 Rôle causal des variables</w:t>
      </w:r>
    </w:p>
    <w:p w14:paraId="4BBC5185" w14:textId="77777777">
      <w:r>
        <w:t>Le choix des variables repose sur leur position supposée dans le mécanisme, et non sur leur corrélation avec Revenue. Les informations de calendrier et de profil sont disponibles avant ou au début de la session. Les nombres de pages, les durées, BounceRates et ExitRates sont mesurés pendant la navigation; Weekend peut donc les influencer. Les inclure dans l'ensemble d'ajustement risquerait de bloquer une partie de l'effet total ou d'ouvrir un chemin par collider.</w:t>
      </w:r>
    </w:p>
    <w:p w14:paraId="12903B61" w14:textId="77777777">
      <w:pPr>
        <w:pStyle w:val="TableCaption"/>
      </w:pPr>
      <w:r>
        <w:t>Tableau 2. Traitement, résultat et rôle des autres variables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900"/>
        <w:gridCol w:w="3300"/>
        <w:gridCol w:w="4160"/>
      </w:tblGrid>
      <w:tr w14:paraId="6C989FFA" w14:textId="77777777">
        <w:trPr>
          <w:cantSplit/>
          <w:tblHeader/>
        </w:trPr>
        <w:tc>
          <w:tcPr>
            <w:tcW w:w="1900" w:type="dxa"/>
            <w:shd w:val="clear" w:color="auto" w:fill="E7E6E6"/>
            <w:tcMar>
              <w:top w:w="90" w:type="dxa"/>
              <w:left w:w="120" w:type="dxa"/>
              <w:bottom w:w="90" w:type="dxa"/>
              <w:right w:w="120" w:type="dxa"/>
            </w:tcMar>
            <w:vAlign w:val="center"/>
          </w:tcPr>
          <w:p w14:paraId="4242A678" w14:textId="77777777">
            <w:pPr>
              <w:keepNext/>
              <w:keepLines/>
              <w:spacing w:after="0" w:line="252" w:lineRule="auto"/>
              <w:jc w:val="left"/>
            </w:pPr>
            <w:r>
              <w:rPr>
                <w:b/>
                <w:sz w:val="17"/>
              </w:rPr>
              <w:t>Rôle</w:t>
            </w:r>
          </w:p>
        </w:tc>
        <w:tc>
          <w:tcPr>
            <w:tcW w:w="3300" w:type="dxa"/>
            <w:shd w:val="clear" w:color="auto" w:fill="E7E6E6"/>
            <w:tcMar>
              <w:top w:w="90" w:type="dxa"/>
              <w:left w:w="120" w:type="dxa"/>
              <w:bottom w:w="90" w:type="dxa"/>
              <w:right w:w="120" w:type="dxa"/>
            </w:tcMar>
            <w:vAlign w:val="center"/>
          </w:tcPr>
          <w:p w14:paraId="11F92635" w14:textId="77777777">
            <w:pPr>
              <w:keepNext/>
              <w:keepLines/>
              <w:spacing w:after="0" w:line="252" w:lineRule="auto"/>
              <w:jc w:val="left"/>
            </w:pPr>
            <w:r>
              <w:rPr>
                <w:b/>
                <w:sz w:val="17"/>
              </w:rPr>
              <w:t>Variables</w:t>
            </w:r>
          </w:p>
        </w:tc>
        <w:tc>
          <w:tcPr>
            <w:tcW w:w="4160" w:type="dxa"/>
            <w:shd w:val="clear" w:color="auto" w:fill="E7E6E6"/>
            <w:tcMar>
              <w:top w:w="90" w:type="dxa"/>
              <w:left w:w="120" w:type="dxa"/>
              <w:bottom w:w="90" w:type="dxa"/>
              <w:right w:w="120" w:type="dxa"/>
            </w:tcMar>
            <w:vAlign w:val="center"/>
          </w:tcPr>
          <w:p w14:paraId="1E3B8637" w14:textId="77777777">
            <w:pPr>
              <w:keepNext/>
              <w:keepLines/>
              <w:spacing w:after="0" w:line="252" w:lineRule="auto"/>
              <w:jc w:val="left"/>
            </w:pPr>
            <w:r>
              <w:rPr>
                <w:b/>
                <w:sz w:val="17"/>
              </w:rPr>
              <w:t>Justification</w:t>
            </w:r>
          </w:p>
        </w:tc>
      </w:tr>
      <w:tr w14:paraId="6EE2DDB0" w14:textId="77777777">
        <w:trPr>
          <w:cantSplit/>
        </w:trPr>
        <w:tc>
          <w:tcPr>
            <w:tcW w:w="1900" w:type="dxa"/>
            <w:tcMar>
              <w:top w:w="90" w:type="dxa"/>
              <w:left w:w="120" w:type="dxa"/>
              <w:bottom w:w="90" w:type="dxa"/>
              <w:right w:w="120" w:type="dxa"/>
            </w:tcMar>
            <w:vAlign w:val="center"/>
          </w:tcPr>
          <w:p w14:paraId="363E3C45" w14:textId="77777777">
            <w:pPr>
              <w:keepNext/>
              <w:keepLines/>
              <w:spacing w:after="0" w:line="252" w:lineRule="auto"/>
              <w:jc w:val="left"/>
            </w:pPr>
            <w:r>
              <w:rPr>
                <w:sz w:val="17"/>
              </w:rPr>
              <w:t>Exposition T</w:t>
            </w:r>
          </w:p>
        </w:tc>
        <w:tc>
          <w:tcPr>
            <w:tcW w:w="3300" w:type="dxa"/>
            <w:tcMar>
              <w:top w:w="90" w:type="dxa"/>
              <w:left w:w="120" w:type="dxa"/>
              <w:bottom w:w="90" w:type="dxa"/>
              <w:right w:w="120" w:type="dxa"/>
            </w:tcMar>
            <w:vAlign w:val="center"/>
          </w:tcPr>
          <w:p w14:paraId="0C9B060D" w14:textId="77777777">
            <w:pPr>
              <w:keepNext/>
              <w:keepLines/>
              <w:spacing w:after="0" w:line="252" w:lineRule="auto"/>
              <w:jc w:val="left"/>
            </w:pPr>
            <w:r>
              <w:rPr>
                <w:sz w:val="17"/>
              </w:rPr>
              <w:t>Weekend</w:t>
            </w:r>
          </w:p>
        </w:tc>
        <w:tc>
          <w:tcPr>
            <w:tcW w:w="4160" w:type="dxa"/>
            <w:tcMar>
              <w:top w:w="90" w:type="dxa"/>
              <w:left w:w="120" w:type="dxa"/>
              <w:bottom w:w="90" w:type="dxa"/>
              <w:right w:w="120" w:type="dxa"/>
            </w:tcMar>
            <w:vAlign w:val="center"/>
          </w:tcPr>
          <w:p w14:paraId="3243D22D" w14:textId="77777777">
            <w:pPr>
              <w:keepNext/>
              <w:keepLines/>
              <w:spacing w:after="0" w:line="252" w:lineRule="auto"/>
              <w:jc w:val="left"/>
            </w:pPr>
            <w:r>
              <w:rPr>
                <w:sz w:val="17"/>
              </w:rPr>
              <w:t>1 = weekend; 0 = semaine</w:t>
            </w:r>
          </w:p>
        </w:tc>
      </w:tr>
      <w:tr w14:paraId="1D6AA188" w14:textId="77777777">
        <w:trPr>
          <w:cantSplit/>
        </w:trPr>
        <w:tc>
          <w:tcPr>
            <w:tcW w:w="1900" w:type="dxa"/>
            <w:shd w:val="clear" w:color="auto" w:fill="F7F7F7"/>
            <w:tcMar>
              <w:top w:w="90" w:type="dxa"/>
              <w:left w:w="120" w:type="dxa"/>
              <w:bottom w:w="90" w:type="dxa"/>
              <w:right w:w="120" w:type="dxa"/>
            </w:tcMar>
            <w:vAlign w:val="center"/>
          </w:tcPr>
          <w:p w14:paraId="105FA4DF" w14:textId="77777777">
            <w:pPr>
              <w:keepNext/>
              <w:keepLines/>
              <w:spacing w:after="0" w:line="252" w:lineRule="auto"/>
              <w:jc w:val="left"/>
            </w:pPr>
            <w:r>
              <w:rPr>
                <w:sz w:val="17"/>
              </w:rPr>
              <w:t>Résultat Y</w:t>
            </w:r>
          </w:p>
        </w:tc>
        <w:tc>
          <w:tcPr>
            <w:tcW w:w="3300" w:type="dxa"/>
            <w:shd w:val="clear" w:color="auto" w:fill="F7F7F7"/>
            <w:tcMar>
              <w:top w:w="90" w:type="dxa"/>
              <w:left w:w="120" w:type="dxa"/>
              <w:bottom w:w="90" w:type="dxa"/>
              <w:right w:w="120" w:type="dxa"/>
            </w:tcMar>
            <w:vAlign w:val="center"/>
          </w:tcPr>
          <w:p w14:paraId="4044C346" w14:textId="77777777">
            <w:pPr>
              <w:keepNext/>
              <w:keepLines/>
              <w:spacing w:after="0" w:line="252" w:lineRule="auto"/>
              <w:jc w:val="left"/>
            </w:pPr>
            <w:r>
              <w:rPr>
                <w:sz w:val="17"/>
              </w:rPr>
              <w:t>Revenue</w:t>
            </w:r>
          </w:p>
        </w:tc>
        <w:tc>
          <w:tcPr>
            <w:tcW w:w="4160" w:type="dxa"/>
            <w:shd w:val="clear" w:color="auto" w:fill="F7F7F7"/>
            <w:tcMar>
              <w:top w:w="90" w:type="dxa"/>
              <w:left w:w="120" w:type="dxa"/>
              <w:bottom w:w="90" w:type="dxa"/>
              <w:right w:w="120" w:type="dxa"/>
            </w:tcMar>
            <w:vAlign w:val="center"/>
          </w:tcPr>
          <w:p w14:paraId="29041A1D" w14:textId="77777777">
            <w:pPr>
              <w:keepNext/>
              <w:keepLines/>
              <w:spacing w:after="0" w:line="252" w:lineRule="auto"/>
              <w:jc w:val="left"/>
            </w:pPr>
            <w:r>
              <w:rPr>
                <w:sz w:val="17"/>
              </w:rPr>
              <w:t>Transaction binaire; aucun montant monétaire</w:t>
            </w:r>
          </w:p>
        </w:tc>
      </w:tr>
      <w:tr w14:paraId="4CA7290D" w14:textId="77777777">
        <w:trPr>
          <w:cantSplit/>
        </w:trPr>
        <w:tc>
          <w:tcPr>
            <w:tcW w:w="1900" w:type="dxa"/>
            <w:tcMar>
              <w:top w:w="90" w:type="dxa"/>
              <w:left w:w="120" w:type="dxa"/>
              <w:bottom w:w="90" w:type="dxa"/>
              <w:right w:w="120" w:type="dxa"/>
            </w:tcMar>
            <w:vAlign w:val="center"/>
          </w:tcPr>
          <w:p w14:paraId="1EC38D77" w14:textId="77777777">
            <w:pPr>
              <w:keepNext/>
              <w:keepLines/>
              <w:spacing w:after="0" w:line="252" w:lineRule="auto"/>
              <w:jc w:val="left"/>
            </w:pPr>
            <w:r>
              <w:rPr>
                <w:sz w:val="17"/>
              </w:rPr>
              <w:t>Ajustement principal Z</w:t>
            </w:r>
          </w:p>
        </w:tc>
        <w:tc>
          <w:tcPr>
            <w:tcW w:w="3300" w:type="dxa"/>
            <w:tcMar>
              <w:top w:w="90" w:type="dxa"/>
              <w:left w:w="120" w:type="dxa"/>
              <w:bottom w:w="90" w:type="dxa"/>
              <w:right w:w="120" w:type="dxa"/>
            </w:tcMar>
            <w:vAlign w:val="center"/>
          </w:tcPr>
          <w:p w14:paraId="4F16C467" w14:textId="77777777">
            <w:pPr>
              <w:keepNext/>
              <w:keepLines/>
              <w:spacing w:after="0" w:line="252" w:lineRule="auto"/>
              <w:jc w:val="left"/>
            </w:pPr>
            <w:r>
              <w:rPr>
                <w:sz w:val="17"/>
              </w:rPr>
              <w:t>Month; VisitorType; Region; OperatingSystems; Browser; TrafficType</w:t>
            </w:r>
          </w:p>
        </w:tc>
        <w:tc>
          <w:tcPr>
            <w:tcW w:w="4160" w:type="dxa"/>
            <w:tcMar>
              <w:top w:w="90" w:type="dxa"/>
              <w:left w:w="120" w:type="dxa"/>
              <w:bottom w:w="90" w:type="dxa"/>
              <w:right w:w="120" w:type="dxa"/>
            </w:tcMar>
            <w:vAlign w:val="center"/>
          </w:tcPr>
          <w:p w14:paraId="377989C5" w14:textId="77777777">
            <w:pPr>
              <w:keepNext/>
              <w:keepLines/>
              <w:spacing w:after="0" w:line="252" w:lineRule="auto"/>
              <w:jc w:val="left"/>
            </w:pPr>
            <w:r>
              <w:rPr>
                <w:sz w:val="17"/>
              </w:rPr>
              <w:t>Covariables pré-session supposées</w:t>
            </w:r>
          </w:p>
        </w:tc>
      </w:tr>
      <w:tr w14:paraId="1063087C" w14:textId="77777777">
        <w:trPr>
          <w:cantSplit/>
        </w:trPr>
        <w:tc>
          <w:tcPr>
            <w:tcW w:w="1900" w:type="dxa"/>
            <w:shd w:val="clear" w:color="auto" w:fill="F7F7F7"/>
            <w:tcMar>
              <w:top w:w="90" w:type="dxa"/>
              <w:left w:w="120" w:type="dxa"/>
              <w:bottom w:w="90" w:type="dxa"/>
              <w:right w:w="120" w:type="dxa"/>
            </w:tcMar>
            <w:vAlign w:val="center"/>
          </w:tcPr>
          <w:p w14:paraId="43DEB36F" w14:textId="77777777">
            <w:pPr>
              <w:keepNext/>
              <w:keepLines/>
              <w:spacing w:after="0" w:line="252" w:lineRule="auto"/>
              <w:jc w:val="left"/>
            </w:pPr>
            <w:r>
              <w:rPr>
                <w:sz w:val="17"/>
              </w:rPr>
              <w:t>Contexte de sélection</w:t>
            </w:r>
          </w:p>
        </w:tc>
        <w:tc>
          <w:tcPr>
            <w:tcW w:w="3300" w:type="dxa"/>
            <w:shd w:val="clear" w:color="auto" w:fill="F7F7F7"/>
            <w:tcMar>
              <w:top w:w="90" w:type="dxa"/>
              <w:left w:w="120" w:type="dxa"/>
              <w:bottom w:w="90" w:type="dxa"/>
              <w:right w:w="120" w:type="dxa"/>
            </w:tcMar>
            <w:vAlign w:val="center"/>
          </w:tcPr>
          <w:p w14:paraId="51968FC0" w14:textId="77777777">
            <w:pPr>
              <w:keepNext/>
              <w:keepLines/>
              <w:spacing w:after="0" w:line="252" w:lineRule="auto"/>
              <w:jc w:val="left"/>
            </w:pPr>
            <w:r>
              <w:rPr>
                <w:sz w:val="17"/>
              </w:rPr>
              <w:t>SpecialDay</w:t>
            </w:r>
          </w:p>
        </w:tc>
        <w:tc>
          <w:tcPr>
            <w:tcW w:w="4160" w:type="dxa"/>
            <w:shd w:val="clear" w:color="auto" w:fill="F7F7F7"/>
            <w:tcMar>
              <w:top w:w="90" w:type="dxa"/>
              <w:left w:w="120" w:type="dxa"/>
              <w:bottom w:w="90" w:type="dxa"/>
              <w:right w:w="120" w:type="dxa"/>
            </w:tcMar>
            <w:vAlign w:val="center"/>
          </w:tcPr>
          <w:p w14:paraId="18159E35" w14:textId="77777777">
            <w:pPr>
              <w:keepNext/>
              <w:keepLines/>
              <w:spacing w:after="0" w:line="252" w:lineRule="auto"/>
              <w:jc w:val="left"/>
            </w:pPr>
            <w:r>
              <w:rPr>
                <w:sz w:val="17"/>
              </w:rPr>
              <w:t>Restriction principale à la valeur 0</w:t>
            </w:r>
          </w:p>
        </w:tc>
      </w:tr>
      <w:tr w14:paraId="5088114C" w14:textId="77777777">
        <w:trPr>
          <w:cantSplit/>
        </w:trPr>
        <w:tc>
          <w:tcPr>
            <w:tcW w:w="1900" w:type="dxa"/>
            <w:tcMar>
              <w:top w:w="90" w:type="dxa"/>
              <w:left w:w="120" w:type="dxa"/>
              <w:bottom w:w="90" w:type="dxa"/>
              <w:right w:w="120" w:type="dxa"/>
            </w:tcMar>
            <w:vAlign w:val="center"/>
          </w:tcPr>
          <w:p w14:paraId="42493D7C" w14:textId="77777777">
            <w:pPr>
              <w:keepNext/>
              <w:keepLines/>
              <w:spacing w:after="0" w:line="252" w:lineRule="auto"/>
              <w:jc w:val="left"/>
            </w:pPr>
            <w:r>
              <w:rPr>
                <w:sz w:val="17"/>
              </w:rPr>
              <w:t>Médiateurs possibles</w:t>
            </w:r>
          </w:p>
        </w:tc>
        <w:tc>
          <w:tcPr>
            <w:tcW w:w="3300" w:type="dxa"/>
            <w:tcMar>
              <w:top w:w="90" w:type="dxa"/>
              <w:left w:w="120" w:type="dxa"/>
              <w:bottom w:w="90" w:type="dxa"/>
              <w:right w:w="120" w:type="dxa"/>
            </w:tcMar>
            <w:vAlign w:val="center"/>
          </w:tcPr>
          <w:p w14:paraId="0EC89FFB" w14:textId="77777777">
            <w:pPr>
              <w:keepNext/>
              <w:keepLines/>
              <w:spacing w:after="0" w:line="252" w:lineRule="auto"/>
              <w:jc w:val="left"/>
            </w:pPr>
            <w:r>
              <w:rPr>
                <w:sz w:val="17"/>
              </w:rPr>
              <w:t>Pages consultées; durées; BounceRates; ExitRates</w:t>
            </w:r>
          </w:p>
        </w:tc>
        <w:tc>
          <w:tcPr>
            <w:tcW w:w="4160" w:type="dxa"/>
            <w:tcMar>
              <w:top w:w="90" w:type="dxa"/>
              <w:left w:w="120" w:type="dxa"/>
              <w:bottom w:w="90" w:type="dxa"/>
              <w:right w:w="120" w:type="dxa"/>
            </w:tcMar>
            <w:vAlign w:val="center"/>
          </w:tcPr>
          <w:p w14:paraId="41AE232B" w14:textId="77777777">
            <w:pPr>
              <w:keepNext/>
              <w:keepLines/>
              <w:spacing w:after="0" w:line="252" w:lineRule="auto"/>
              <w:jc w:val="left"/>
            </w:pPr>
            <w:r>
              <w:rPr>
                <w:sz w:val="17"/>
              </w:rPr>
              <w:t>Variables de navigation exclues de Z</w:t>
            </w:r>
          </w:p>
        </w:tc>
      </w:tr>
      <w:tr w14:paraId="52825E18" w14:textId="77777777">
        <w:trPr>
          <w:cantSplit/>
        </w:trPr>
        <w:tc>
          <w:tcPr>
            <w:tcW w:w="1900" w:type="dxa"/>
            <w:shd w:val="clear" w:color="auto" w:fill="F7F7F7"/>
            <w:tcMar>
              <w:top w:w="90" w:type="dxa"/>
              <w:left w:w="120" w:type="dxa"/>
              <w:bottom w:w="90" w:type="dxa"/>
              <w:right w:w="120" w:type="dxa"/>
            </w:tcMar>
            <w:vAlign w:val="center"/>
          </w:tcPr>
          <w:p w14:paraId="0F0C60F0" w14:textId="77777777">
            <w:pPr>
              <w:keepNext/>
              <w:keepLines/>
              <w:spacing w:after="0" w:line="252" w:lineRule="auto"/>
              <w:jc w:val="left"/>
            </w:pPr>
            <w:r>
              <w:rPr>
                <w:sz w:val="17"/>
              </w:rPr>
              <w:t>Variable proche de Y</w:t>
            </w:r>
          </w:p>
        </w:tc>
        <w:tc>
          <w:tcPr>
            <w:tcW w:w="3300" w:type="dxa"/>
            <w:shd w:val="clear" w:color="auto" w:fill="F7F7F7"/>
            <w:tcMar>
              <w:top w:w="90" w:type="dxa"/>
              <w:left w:w="120" w:type="dxa"/>
              <w:bottom w:w="90" w:type="dxa"/>
              <w:right w:w="120" w:type="dxa"/>
            </w:tcMar>
            <w:vAlign w:val="center"/>
          </w:tcPr>
          <w:p w14:paraId="68EF7FDF" w14:textId="77777777">
            <w:pPr>
              <w:keepNext/>
              <w:keepLines/>
              <w:spacing w:after="0" w:line="252" w:lineRule="auto"/>
              <w:jc w:val="left"/>
            </w:pPr>
            <w:r>
              <w:rPr>
                <w:sz w:val="17"/>
              </w:rPr>
              <w:t>PageValues</w:t>
            </w:r>
          </w:p>
        </w:tc>
        <w:tc>
          <w:tcPr>
            <w:tcW w:w="4160" w:type="dxa"/>
            <w:shd w:val="clear" w:color="auto" w:fill="F7F7F7"/>
            <w:tcMar>
              <w:top w:w="90" w:type="dxa"/>
              <w:left w:w="120" w:type="dxa"/>
              <w:bottom w:w="90" w:type="dxa"/>
              <w:right w:w="120" w:type="dxa"/>
            </w:tcMar>
            <w:vAlign w:val="center"/>
          </w:tcPr>
          <w:p w14:paraId="4709800D" w14:textId="77777777">
            <w:pPr>
              <w:keepNext/>
              <w:keepLines/>
              <w:spacing w:after="0" w:line="252" w:lineRule="auto"/>
              <w:jc w:val="left"/>
            </w:pPr>
            <w:r>
              <w:rPr>
                <w:sz w:val="17"/>
              </w:rPr>
              <w:t>Ordre temporel incertain; exclue conservativement de Z</w:t>
            </w:r>
          </w:p>
        </w:tc>
      </w:tr>
      <w:tr w14:paraId="528A7C7A" w14:textId="77777777">
        <w:trPr>
          <w:cantSplit/>
        </w:trPr>
        <w:tc>
          <w:tcPr>
            <w:tcW w:w="1900" w:type="dxa"/>
            <w:tcMar>
              <w:top w:w="90" w:type="dxa"/>
              <w:left w:w="120" w:type="dxa"/>
              <w:bottom w:w="90" w:type="dxa"/>
              <w:right w:w="120" w:type="dxa"/>
            </w:tcMar>
            <w:vAlign w:val="center"/>
          </w:tcPr>
          <w:p w14:paraId="6E60A3B8" w14:textId="77777777">
            <w:pPr>
              <w:keepNext/>
              <w:keepLines/>
              <w:spacing w:after="0" w:line="252" w:lineRule="auto"/>
              <w:jc w:val="left"/>
            </w:pPr>
            <w:r>
              <w:rPr>
                <w:sz w:val="17"/>
              </w:rPr>
              <w:t>Causes non observées</w:t>
            </w:r>
          </w:p>
        </w:tc>
        <w:tc>
          <w:tcPr>
            <w:tcW w:w="3300" w:type="dxa"/>
            <w:tcMar>
              <w:top w:w="90" w:type="dxa"/>
              <w:left w:w="120" w:type="dxa"/>
              <w:bottom w:w="90" w:type="dxa"/>
              <w:right w:w="120" w:type="dxa"/>
            </w:tcMar>
            <w:vAlign w:val="center"/>
          </w:tcPr>
          <w:p w14:paraId="0C75C45B" w14:textId="77777777">
            <w:pPr>
              <w:keepNext/>
              <w:keepLines/>
              <w:spacing w:after="0" w:line="252" w:lineRule="auto"/>
              <w:jc w:val="left"/>
            </w:pPr>
            <w:r>
              <w:rPr>
                <w:sz w:val="17"/>
              </w:rPr>
              <w:t>Prix; promotions; campagnes; produits; intention préalable</w:t>
            </w:r>
          </w:p>
        </w:tc>
        <w:tc>
          <w:tcPr>
            <w:tcW w:w="4160" w:type="dxa"/>
            <w:tcMar>
              <w:top w:w="90" w:type="dxa"/>
              <w:left w:w="120" w:type="dxa"/>
              <w:bottom w:w="90" w:type="dxa"/>
              <w:right w:w="120" w:type="dxa"/>
            </w:tcMar>
            <w:vAlign w:val="center"/>
          </w:tcPr>
          <w:p w14:paraId="1CFA89F0" w14:textId="77777777">
            <w:pPr>
              <w:keepNext/>
              <w:keepLines/>
              <w:spacing w:after="0" w:line="252" w:lineRule="auto"/>
              <w:jc w:val="left"/>
            </w:pPr>
            <w:r>
              <w:rPr>
                <w:sz w:val="17"/>
              </w:rPr>
              <w:t>Menaces à l'échangeabilité</w:t>
            </w:r>
          </w:p>
        </w:tc>
      </w:tr>
      <w:tr w14:paraId="5DF6BA95" w14:textId="77777777">
        <w:trPr>
          <w:cantSplit/>
        </w:trPr>
        <w:tc>
          <w:tcPr>
            <w:tcW w:w="1900" w:type="dxa"/>
            <w:shd w:val="clear" w:color="auto" w:fill="F7F7F7"/>
            <w:tcMar>
              <w:top w:w="90" w:type="dxa"/>
              <w:left w:w="120" w:type="dxa"/>
              <w:bottom w:w="90" w:type="dxa"/>
              <w:right w:w="120" w:type="dxa"/>
            </w:tcMar>
            <w:vAlign w:val="center"/>
          </w:tcPr>
          <w:p w14:paraId="25D62851" w14:textId="77777777">
            <w:pPr>
              <w:keepNext/>
              <w:keepLines/>
              <w:spacing w:after="0" w:line="252" w:lineRule="auto"/>
              <w:jc w:val="left"/>
            </w:pPr>
            <w:r>
              <w:rPr>
                <w:sz w:val="17"/>
              </w:rPr>
              <w:t>Instrument</w:t>
            </w:r>
          </w:p>
        </w:tc>
        <w:tc>
          <w:tcPr>
            <w:tcW w:w="3300" w:type="dxa"/>
            <w:shd w:val="clear" w:color="auto" w:fill="F7F7F7"/>
            <w:tcMar>
              <w:top w:w="90" w:type="dxa"/>
              <w:left w:w="120" w:type="dxa"/>
              <w:bottom w:w="90" w:type="dxa"/>
              <w:right w:w="120" w:type="dxa"/>
            </w:tcMar>
            <w:vAlign w:val="center"/>
          </w:tcPr>
          <w:p w14:paraId="23D576A8" w14:textId="77777777">
            <w:pPr>
              <w:keepNext/>
              <w:keepLines/>
              <w:spacing w:after="0" w:line="252" w:lineRule="auto"/>
              <w:jc w:val="left"/>
            </w:pPr>
            <w:r>
              <w:rPr>
                <w:sz w:val="17"/>
              </w:rPr>
              <w:t>Aucun instrument crédible</w:t>
            </w:r>
          </w:p>
        </w:tc>
        <w:tc>
          <w:tcPr>
            <w:tcW w:w="4160" w:type="dxa"/>
            <w:shd w:val="clear" w:color="auto" w:fill="F7F7F7"/>
            <w:tcMar>
              <w:top w:w="90" w:type="dxa"/>
              <w:left w:w="120" w:type="dxa"/>
              <w:bottom w:w="90" w:type="dxa"/>
              <w:right w:w="120" w:type="dxa"/>
            </w:tcMar>
            <w:vAlign w:val="center"/>
          </w:tcPr>
          <w:p w14:paraId="4F35CC98" w14:textId="77777777">
            <w:pPr>
              <w:keepNext/>
              <w:keepLines/>
              <w:spacing w:after="0" w:line="252" w:lineRule="auto"/>
              <w:jc w:val="left"/>
            </w:pPr>
            <w:r>
              <w:rPr>
                <w:sz w:val="17"/>
              </w:rPr>
              <w:t>Aucune variable ne satisfait les conditions requises</w:t>
            </w:r>
          </w:p>
        </w:tc>
      </w:tr>
    </w:tbl>
    <w:p w14:paraId="5D60DE63" w14:textId="77777777">
      <w:pPr>
        <w:pStyle w:val="Source"/>
      </w:pPr>
      <w:r>
        <w:t>Source : classification causale définie avant l'estimation dans le notebook final.</w:t>
      </w:r>
    </w:p>
    <w:p w14:paraId="68406A42" w14:textId="77777777">
      <w:r>
        <w:lastRenderedPageBreak/>
        <w:t>TrafficType demande une attention particulière. Il peut refléter une campagne ou une préférence préexistante qui influence aussi le moment de la visite, auquel cas il agit comme confondeur ou proxy; le calendrier peut inversement modifier le canal d'arrivée, auquel cas il devient un médiateur. Il est inclus dans l'analyse principale et retiré dans une analyse de sensibilité substantielle.</w:t>
      </w:r>
    </w:p>
    <w:p w14:paraId="0A394E35" w14:textId="77777777">
      <w:pPr>
        <w:pStyle w:val="Heading2"/>
      </w:pPr>
      <w:r>
        <w:t>2.3 Recouvrement et population cible</w:t>
      </w:r>
    </w:p>
    <w:p w14:paraId="5379EDC4" w14:textId="77777777">
      <w:pPr>
        <w:pStyle w:val="TableCaption"/>
      </w:pPr>
      <w:r>
        <w:t>Tableau 3. Répartition des sessions selon SpecialDay et 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120"/>
        <w:gridCol w:w="3120"/>
        <w:gridCol w:w="3120"/>
      </w:tblGrid>
      <w:tr w14:paraId="1CF9B388" w14:textId="77777777">
        <w:trPr>
          <w:cantSplit/>
          <w:tblHeader/>
        </w:trPr>
        <w:tc>
          <w:tcPr>
            <w:tcW w:w="3120" w:type="dxa"/>
            <w:shd w:val="clear" w:color="auto" w:fill="E7E6E6"/>
            <w:tcMar>
              <w:top w:w="90" w:type="dxa"/>
              <w:left w:w="120" w:type="dxa"/>
              <w:bottom w:w="90" w:type="dxa"/>
              <w:right w:w="120" w:type="dxa"/>
            </w:tcMar>
            <w:vAlign w:val="center"/>
          </w:tcPr>
          <w:p w14:paraId="07A35FFC" w14:textId="77777777">
            <w:pPr>
              <w:keepNext/>
              <w:keepLines/>
              <w:spacing w:after="0" w:line="252" w:lineRule="auto"/>
              <w:jc w:val="right"/>
            </w:pPr>
            <w:r>
              <w:rPr>
                <w:b/>
                <w:sz w:val="18"/>
              </w:rPr>
              <w:t>SpecialDay</w:t>
            </w:r>
          </w:p>
        </w:tc>
        <w:tc>
          <w:tcPr>
            <w:tcW w:w="3120" w:type="dxa"/>
            <w:shd w:val="clear" w:color="auto" w:fill="E7E6E6"/>
            <w:tcMar>
              <w:top w:w="90" w:type="dxa"/>
              <w:left w:w="120" w:type="dxa"/>
              <w:bottom w:w="90" w:type="dxa"/>
              <w:right w:w="120" w:type="dxa"/>
            </w:tcMar>
            <w:vAlign w:val="center"/>
          </w:tcPr>
          <w:p w14:paraId="21A5E99E" w14:textId="77777777">
            <w:pPr>
              <w:keepNext/>
              <w:keepLines/>
              <w:spacing w:after="0" w:line="252" w:lineRule="auto"/>
              <w:jc w:val="right"/>
            </w:pPr>
            <w:r>
              <w:rPr>
                <w:b/>
                <w:sz w:val="18"/>
              </w:rPr>
              <w:t>Semaine</w:t>
            </w:r>
          </w:p>
        </w:tc>
        <w:tc>
          <w:tcPr>
            <w:tcW w:w="3120" w:type="dxa"/>
            <w:shd w:val="clear" w:color="auto" w:fill="E7E6E6"/>
            <w:tcMar>
              <w:top w:w="90" w:type="dxa"/>
              <w:left w:w="120" w:type="dxa"/>
              <w:bottom w:w="90" w:type="dxa"/>
              <w:right w:w="120" w:type="dxa"/>
            </w:tcMar>
            <w:vAlign w:val="center"/>
          </w:tcPr>
          <w:p w14:paraId="7500062C" w14:textId="77777777">
            <w:pPr>
              <w:keepNext/>
              <w:keepLines/>
              <w:spacing w:after="0" w:line="252" w:lineRule="auto"/>
              <w:jc w:val="right"/>
            </w:pPr>
            <w:r>
              <w:rPr>
                <w:b/>
                <w:sz w:val="18"/>
              </w:rPr>
              <w:t>Weekend</w:t>
            </w:r>
          </w:p>
        </w:tc>
      </w:tr>
      <w:tr w14:paraId="39239169" w14:textId="77777777">
        <w:trPr>
          <w:cantSplit/>
        </w:trPr>
        <w:tc>
          <w:tcPr>
            <w:tcW w:w="3120" w:type="dxa"/>
            <w:tcMar>
              <w:top w:w="90" w:type="dxa"/>
              <w:left w:w="120" w:type="dxa"/>
              <w:bottom w:w="90" w:type="dxa"/>
              <w:right w:w="120" w:type="dxa"/>
            </w:tcMar>
            <w:vAlign w:val="center"/>
          </w:tcPr>
          <w:p w14:paraId="32693176" w14:textId="77777777">
            <w:pPr>
              <w:keepNext/>
              <w:keepLines/>
              <w:spacing w:after="0" w:line="252" w:lineRule="auto"/>
              <w:jc w:val="right"/>
            </w:pPr>
            <w:r>
              <w:rPr>
                <w:sz w:val="18"/>
              </w:rPr>
              <w:t>0,0</w:t>
            </w:r>
          </w:p>
        </w:tc>
        <w:tc>
          <w:tcPr>
            <w:tcW w:w="3120" w:type="dxa"/>
            <w:tcMar>
              <w:top w:w="90" w:type="dxa"/>
              <w:left w:w="120" w:type="dxa"/>
              <w:bottom w:w="90" w:type="dxa"/>
              <w:right w:w="120" w:type="dxa"/>
            </w:tcMar>
            <w:vAlign w:val="center"/>
          </w:tcPr>
          <w:p w14:paraId="089B5988" w14:textId="77777777">
            <w:pPr>
              <w:keepNext/>
              <w:keepLines/>
              <w:spacing w:after="0" w:line="252" w:lineRule="auto"/>
              <w:jc w:val="right"/>
            </w:pPr>
            <w:r>
              <w:rPr>
                <w:sz w:val="18"/>
              </w:rPr>
              <w:t>8371</w:t>
            </w:r>
          </w:p>
        </w:tc>
        <w:tc>
          <w:tcPr>
            <w:tcW w:w="3120" w:type="dxa"/>
            <w:tcMar>
              <w:top w:w="90" w:type="dxa"/>
              <w:left w:w="120" w:type="dxa"/>
              <w:bottom w:w="90" w:type="dxa"/>
              <w:right w:w="120" w:type="dxa"/>
            </w:tcMar>
            <w:vAlign w:val="center"/>
          </w:tcPr>
          <w:p w14:paraId="4AC66BD4" w14:textId="77777777">
            <w:pPr>
              <w:keepNext/>
              <w:keepLines/>
              <w:spacing w:after="0" w:line="252" w:lineRule="auto"/>
              <w:jc w:val="right"/>
            </w:pPr>
            <w:r>
              <w:rPr>
                <w:sz w:val="18"/>
              </w:rPr>
              <w:t>2708</w:t>
            </w:r>
          </w:p>
        </w:tc>
      </w:tr>
      <w:tr w14:paraId="00CCBECE" w14:textId="77777777">
        <w:trPr>
          <w:cantSplit/>
        </w:trPr>
        <w:tc>
          <w:tcPr>
            <w:tcW w:w="3120" w:type="dxa"/>
            <w:shd w:val="clear" w:color="auto" w:fill="F7F7F7"/>
            <w:tcMar>
              <w:top w:w="90" w:type="dxa"/>
              <w:left w:w="120" w:type="dxa"/>
              <w:bottom w:w="90" w:type="dxa"/>
              <w:right w:w="120" w:type="dxa"/>
            </w:tcMar>
            <w:vAlign w:val="center"/>
          </w:tcPr>
          <w:p w14:paraId="248E4A7A" w14:textId="77777777">
            <w:pPr>
              <w:keepNext/>
              <w:keepLines/>
              <w:spacing w:after="0" w:line="252" w:lineRule="auto"/>
              <w:jc w:val="right"/>
            </w:pPr>
            <w:r>
              <w:rPr>
                <w:sz w:val="18"/>
              </w:rPr>
              <w:t>0,2</w:t>
            </w:r>
          </w:p>
        </w:tc>
        <w:tc>
          <w:tcPr>
            <w:tcW w:w="3120" w:type="dxa"/>
            <w:shd w:val="clear" w:color="auto" w:fill="F7F7F7"/>
            <w:tcMar>
              <w:top w:w="90" w:type="dxa"/>
              <w:left w:w="120" w:type="dxa"/>
              <w:bottom w:w="90" w:type="dxa"/>
              <w:right w:w="120" w:type="dxa"/>
            </w:tcMar>
            <w:vAlign w:val="center"/>
          </w:tcPr>
          <w:p w14:paraId="01CC024A" w14:textId="77777777">
            <w:pPr>
              <w:keepNext/>
              <w:keepLines/>
              <w:spacing w:after="0" w:line="252" w:lineRule="auto"/>
              <w:jc w:val="right"/>
            </w:pPr>
            <w:r>
              <w:rPr>
                <w:sz w:val="18"/>
              </w:rPr>
              <w:t>178</w:t>
            </w:r>
          </w:p>
        </w:tc>
        <w:tc>
          <w:tcPr>
            <w:tcW w:w="3120" w:type="dxa"/>
            <w:shd w:val="clear" w:color="auto" w:fill="F7F7F7"/>
            <w:tcMar>
              <w:top w:w="90" w:type="dxa"/>
              <w:left w:w="120" w:type="dxa"/>
              <w:bottom w:w="90" w:type="dxa"/>
              <w:right w:w="120" w:type="dxa"/>
            </w:tcMar>
            <w:vAlign w:val="center"/>
          </w:tcPr>
          <w:p w14:paraId="0A808DCE" w14:textId="77777777">
            <w:pPr>
              <w:keepNext/>
              <w:keepLines/>
              <w:spacing w:after="0" w:line="252" w:lineRule="auto"/>
              <w:jc w:val="right"/>
            </w:pPr>
            <w:r>
              <w:rPr>
                <w:sz w:val="18"/>
              </w:rPr>
              <w:t>0</w:t>
            </w:r>
          </w:p>
        </w:tc>
      </w:tr>
      <w:tr w14:paraId="1239C8D0" w14:textId="77777777">
        <w:trPr>
          <w:cantSplit/>
        </w:trPr>
        <w:tc>
          <w:tcPr>
            <w:tcW w:w="3120" w:type="dxa"/>
            <w:tcMar>
              <w:top w:w="90" w:type="dxa"/>
              <w:left w:w="120" w:type="dxa"/>
              <w:bottom w:w="90" w:type="dxa"/>
              <w:right w:w="120" w:type="dxa"/>
            </w:tcMar>
            <w:vAlign w:val="center"/>
          </w:tcPr>
          <w:p w14:paraId="49C09A53" w14:textId="77777777">
            <w:pPr>
              <w:keepNext/>
              <w:keepLines/>
              <w:spacing w:after="0" w:line="252" w:lineRule="auto"/>
              <w:jc w:val="right"/>
            </w:pPr>
            <w:r>
              <w:rPr>
                <w:sz w:val="18"/>
              </w:rPr>
              <w:t>0,4</w:t>
            </w:r>
          </w:p>
        </w:tc>
        <w:tc>
          <w:tcPr>
            <w:tcW w:w="3120" w:type="dxa"/>
            <w:tcMar>
              <w:top w:w="90" w:type="dxa"/>
              <w:left w:w="120" w:type="dxa"/>
              <w:bottom w:w="90" w:type="dxa"/>
              <w:right w:w="120" w:type="dxa"/>
            </w:tcMar>
            <w:vAlign w:val="center"/>
          </w:tcPr>
          <w:p w14:paraId="7CED4742" w14:textId="77777777">
            <w:pPr>
              <w:keepNext/>
              <w:keepLines/>
              <w:spacing w:after="0" w:line="252" w:lineRule="auto"/>
              <w:jc w:val="right"/>
            </w:pPr>
            <w:r>
              <w:rPr>
                <w:sz w:val="18"/>
              </w:rPr>
              <w:t>243</w:t>
            </w:r>
          </w:p>
        </w:tc>
        <w:tc>
          <w:tcPr>
            <w:tcW w:w="3120" w:type="dxa"/>
            <w:tcMar>
              <w:top w:w="90" w:type="dxa"/>
              <w:left w:w="120" w:type="dxa"/>
              <w:bottom w:w="90" w:type="dxa"/>
              <w:right w:w="120" w:type="dxa"/>
            </w:tcMar>
            <w:vAlign w:val="center"/>
          </w:tcPr>
          <w:p w14:paraId="35D39CF9" w14:textId="77777777">
            <w:pPr>
              <w:keepNext/>
              <w:keepLines/>
              <w:spacing w:after="0" w:line="252" w:lineRule="auto"/>
              <w:jc w:val="right"/>
            </w:pPr>
            <w:r>
              <w:rPr>
                <w:sz w:val="18"/>
              </w:rPr>
              <w:t>0</w:t>
            </w:r>
          </w:p>
        </w:tc>
      </w:tr>
      <w:tr w14:paraId="2D2D6854" w14:textId="77777777">
        <w:trPr>
          <w:cantSplit/>
        </w:trPr>
        <w:tc>
          <w:tcPr>
            <w:tcW w:w="3120" w:type="dxa"/>
            <w:shd w:val="clear" w:color="auto" w:fill="F7F7F7"/>
            <w:tcMar>
              <w:top w:w="90" w:type="dxa"/>
              <w:left w:w="120" w:type="dxa"/>
              <w:bottom w:w="90" w:type="dxa"/>
              <w:right w:w="120" w:type="dxa"/>
            </w:tcMar>
            <w:vAlign w:val="center"/>
          </w:tcPr>
          <w:p w14:paraId="4DD98A8F" w14:textId="77777777">
            <w:pPr>
              <w:keepNext/>
              <w:keepLines/>
              <w:spacing w:after="0" w:line="252" w:lineRule="auto"/>
              <w:jc w:val="right"/>
            </w:pPr>
            <w:r>
              <w:rPr>
                <w:sz w:val="18"/>
              </w:rPr>
              <w:t>0,6</w:t>
            </w:r>
          </w:p>
        </w:tc>
        <w:tc>
          <w:tcPr>
            <w:tcW w:w="3120" w:type="dxa"/>
            <w:shd w:val="clear" w:color="auto" w:fill="F7F7F7"/>
            <w:tcMar>
              <w:top w:w="90" w:type="dxa"/>
              <w:left w:w="120" w:type="dxa"/>
              <w:bottom w:w="90" w:type="dxa"/>
              <w:right w:w="120" w:type="dxa"/>
            </w:tcMar>
            <w:vAlign w:val="center"/>
          </w:tcPr>
          <w:p w14:paraId="2DA5763A" w14:textId="77777777">
            <w:pPr>
              <w:keepNext/>
              <w:keepLines/>
              <w:spacing w:after="0" w:line="252" w:lineRule="auto"/>
              <w:jc w:val="right"/>
            </w:pPr>
            <w:r>
              <w:rPr>
                <w:sz w:val="18"/>
              </w:rPr>
              <w:t>351</w:t>
            </w:r>
          </w:p>
        </w:tc>
        <w:tc>
          <w:tcPr>
            <w:tcW w:w="3120" w:type="dxa"/>
            <w:shd w:val="clear" w:color="auto" w:fill="F7F7F7"/>
            <w:tcMar>
              <w:top w:w="90" w:type="dxa"/>
              <w:left w:w="120" w:type="dxa"/>
              <w:bottom w:w="90" w:type="dxa"/>
              <w:right w:w="120" w:type="dxa"/>
            </w:tcMar>
            <w:vAlign w:val="center"/>
          </w:tcPr>
          <w:p w14:paraId="3FB56696" w14:textId="77777777">
            <w:pPr>
              <w:keepNext/>
              <w:keepLines/>
              <w:spacing w:after="0" w:line="252" w:lineRule="auto"/>
              <w:jc w:val="right"/>
            </w:pPr>
            <w:r>
              <w:rPr>
                <w:sz w:val="18"/>
              </w:rPr>
              <w:t>0</w:t>
            </w:r>
          </w:p>
        </w:tc>
      </w:tr>
      <w:tr w14:paraId="4455169D" w14:textId="77777777">
        <w:trPr>
          <w:cantSplit/>
        </w:trPr>
        <w:tc>
          <w:tcPr>
            <w:tcW w:w="3120" w:type="dxa"/>
            <w:tcMar>
              <w:top w:w="90" w:type="dxa"/>
              <w:left w:w="120" w:type="dxa"/>
              <w:bottom w:w="90" w:type="dxa"/>
              <w:right w:w="120" w:type="dxa"/>
            </w:tcMar>
            <w:vAlign w:val="center"/>
          </w:tcPr>
          <w:p w14:paraId="42081E34" w14:textId="77777777">
            <w:pPr>
              <w:keepNext/>
              <w:keepLines/>
              <w:spacing w:after="0" w:line="252" w:lineRule="auto"/>
              <w:jc w:val="right"/>
            </w:pPr>
            <w:r>
              <w:rPr>
                <w:sz w:val="18"/>
              </w:rPr>
              <w:t>0,8</w:t>
            </w:r>
          </w:p>
        </w:tc>
        <w:tc>
          <w:tcPr>
            <w:tcW w:w="3120" w:type="dxa"/>
            <w:tcMar>
              <w:top w:w="90" w:type="dxa"/>
              <w:left w:w="120" w:type="dxa"/>
              <w:bottom w:w="90" w:type="dxa"/>
              <w:right w:w="120" w:type="dxa"/>
            </w:tcMar>
            <w:vAlign w:val="center"/>
          </w:tcPr>
          <w:p w14:paraId="4C7B99DD" w14:textId="77777777">
            <w:pPr>
              <w:keepNext/>
              <w:keepLines/>
              <w:spacing w:after="0" w:line="252" w:lineRule="auto"/>
              <w:jc w:val="right"/>
            </w:pPr>
            <w:r>
              <w:rPr>
                <w:sz w:val="18"/>
              </w:rPr>
              <w:t>319</w:t>
            </w:r>
          </w:p>
        </w:tc>
        <w:tc>
          <w:tcPr>
            <w:tcW w:w="3120" w:type="dxa"/>
            <w:tcMar>
              <w:top w:w="90" w:type="dxa"/>
              <w:left w:w="120" w:type="dxa"/>
              <w:bottom w:w="90" w:type="dxa"/>
              <w:right w:w="120" w:type="dxa"/>
            </w:tcMar>
            <w:vAlign w:val="center"/>
          </w:tcPr>
          <w:p w14:paraId="3CCA9F7B" w14:textId="77777777">
            <w:pPr>
              <w:keepNext/>
              <w:keepLines/>
              <w:spacing w:after="0" w:line="252" w:lineRule="auto"/>
              <w:jc w:val="right"/>
            </w:pPr>
            <w:r>
              <w:rPr>
                <w:sz w:val="18"/>
              </w:rPr>
              <w:t>6</w:t>
            </w:r>
          </w:p>
        </w:tc>
      </w:tr>
      <w:tr w14:paraId="3A2223B5" w14:textId="77777777">
        <w:trPr>
          <w:cantSplit/>
        </w:trPr>
        <w:tc>
          <w:tcPr>
            <w:tcW w:w="3120" w:type="dxa"/>
            <w:shd w:val="clear" w:color="auto" w:fill="F7F7F7"/>
            <w:tcMar>
              <w:top w:w="90" w:type="dxa"/>
              <w:left w:w="120" w:type="dxa"/>
              <w:bottom w:w="90" w:type="dxa"/>
              <w:right w:w="120" w:type="dxa"/>
            </w:tcMar>
            <w:vAlign w:val="center"/>
          </w:tcPr>
          <w:p w14:paraId="0F515237" w14:textId="77777777">
            <w:pPr>
              <w:keepNext/>
              <w:keepLines/>
              <w:spacing w:after="0" w:line="252" w:lineRule="auto"/>
              <w:jc w:val="right"/>
            </w:pPr>
            <w:r>
              <w:rPr>
                <w:sz w:val="18"/>
              </w:rPr>
              <w:t>1,0</w:t>
            </w:r>
          </w:p>
        </w:tc>
        <w:tc>
          <w:tcPr>
            <w:tcW w:w="3120" w:type="dxa"/>
            <w:shd w:val="clear" w:color="auto" w:fill="F7F7F7"/>
            <w:tcMar>
              <w:top w:w="90" w:type="dxa"/>
              <w:left w:w="120" w:type="dxa"/>
              <w:bottom w:w="90" w:type="dxa"/>
              <w:right w:w="120" w:type="dxa"/>
            </w:tcMar>
            <w:vAlign w:val="center"/>
          </w:tcPr>
          <w:p w14:paraId="3DCBBEE7" w14:textId="77777777">
            <w:pPr>
              <w:keepNext/>
              <w:keepLines/>
              <w:spacing w:after="0" w:line="252" w:lineRule="auto"/>
              <w:jc w:val="right"/>
            </w:pPr>
            <w:r>
              <w:rPr>
                <w:sz w:val="18"/>
              </w:rPr>
              <w:t>0</w:t>
            </w:r>
          </w:p>
        </w:tc>
        <w:tc>
          <w:tcPr>
            <w:tcW w:w="3120" w:type="dxa"/>
            <w:shd w:val="clear" w:color="auto" w:fill="F7F7F7"/>
            <w:tcMar>
              <w:top w:w="90" w:type="dxa"/>
              <w:left w:w="120" w:type="dxa"/>
              <w:bottom w:w="90" w:type="dxa"/>
              <w:right w:w="120" w:type="dxa"/>
            </w:tcMar>
            <w:vAlign w:val="center"/>
          </w:tcPr>
          <w:p w14:paraId="4C67833A" w14:textId="77777777">
            <w:pPr>
              <w:keepNext/>
              <w:keepLines/>
              <w:spacing w:after="0" w:line="252" w:lineRule="auto"/>
              <w:jc w:val="right"/>
            </w:pPr>
            <w:r>
              <w:rPr>
                <w:sz w:val="18"/>
              </w:rPr>
              <w:t>154</w:t>
            </w:r>
          </w:p>
        </w:tc>
      </w:tr>
    </w:tbl>
    <w:p w14:paraId="4AC0B636" w14:textId="77777777">
      <w:pPr>
        <w:pStyle w:val="Source"/>
      </w:pPr>
      <w:r>
        <w:t>Source : tabulation de la base brute; N = 12 330.</w:t>
      </w:r>
    </w:p>
    <w:p w14:paraId="5E1B1F31" w14:textId="77777777">
      <w:r>
        <w:t>Les valeurs 0,2, 0,4 et 0,6 n'apparaissent qu'en semaine; la valeur 1 n'apparaît que durant le weekend; la valeur 0,8 ne compte que six sessions de weekend. Un ajustement sur la base complète forcerait donc des comparaisons sans support dans plusieurs strates. L'analyse principale retient SpecialDay=0, soit 11 079 sessions : 8 371 en semaine et 2 708 le weekend. Cette restriction améliore la positivité, mais redéfinit la population cible aux sessions éloignées d'un jour commercial spécial.</w:t>
      </w:r>
    </w:p>
    <w:p w14:paraId="51887204" w14:textId="77777777">
      <w:pPr>
        <w:keepNext/>
        <w:keepLines/>
        <w:spacing w:before="100" w:after="40"/>
        <w:jc w:val="center"/>
      </w:pPr>
      <w:r>
        <w:rPr>
          <w:noProof/>
        </w:rPr>
        <w:drawing>
          <wp:inline distT="0" distB="0" distL="0" distR="0" wp14:anchorId="11AD72EA" wp14:editId="461E324E">
            <wp:extent cx="5715000" cy="2219742"/>
            <wp:effectExtent l="0" t="0" r="0" b="0"/>
            <wp:docPr id="1" name="Picture 1" descr="Deux graphiques : taux de transaction en semaine et durant le weekend, puis effectifs par valeur de SpecialDay." title="Figure 1. Taux de transaction observé et recouvrement de Special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scription_et_recouvrement.png"/>
                    <pic:cNvPicPr/>
                  </pic:nvPicPr>
                  <pic:blipFill>
                    <a:blip r:embed="rId12"/>
                    <a:srcRect t="7500"/>
                    <a:stretch>
                      <a:fillRect/>
                    </a:stretch>
                  </pic:blipFill>
                  <pic:spPr>
                    <a:xfrm>
                      <a:off x="0" y="0"/>
                      <a:ext cx="5715000" cy="2219742"/>
                    </a:xfrm>
                    <a:prstGeom prst="rect">
                      <a:avLst/>
                    </a:prstGeom>
                  </pic:spPr>
                </pic:pic>
              </a:graphicData>
            </a:graphic>
          </wp:inline>
        </w:drawing>
      </w:r>
    </w:p>
    <w:p w14:paraId="7A8AEDC6" w14:textId="77777777">
      <w:pPr>
        <w:pStyle w:val="Caption"/>
      </w:pPr>
      <w:r>
        <w:t>Figure 1. Taux de transaction observé et recouvrement de SpecialDay</w:t>
      </w:r>
    </w:p>
    <w:p w14:paraId="3ED0BB77" w14:textId="77777777">
      <w:pPr>
        <w:pStyle w:val="Source"/>
      </w:pPr>
      <w:r>
        <w:t>Source : calculs réalisés dans le notebook final.</w:t>
      </w:r>
    </w:p>
    <w:p w14:paraId="68B4ABDB" w14:textId="77777777">
      <w:pPr>
        <w:keepLines/>
      </w:pPr>
      <w:r>
        <w:lastRenderedPageBreak/>
        <w:t>Dans cette population, 489 des 2 708 sessions de weekend aboutissent à une transaction, contre 1 342 des 8 371 sessions de semaine. Les taux observés sont 18,06 % et 16,03 %, soit un écart descriptif de +2,03 points. Cet écart ne constitue pas encore un effet causal, car l'exposition n'est pas randomisée.</w:t>
      </w:r>
    </w:p>
    <w:p w14:paraId="7631D269" w14:textId="77777777">
      <w:pPr>
        <w:pStyle w:val="Heading1"/>
      </w:pPr>
      <w:bookmarkStart w:id="2" w:name="_Toc235024098"/>
      <w:r>
        <w:t>3. Connaissances préalables et DAG de domaine</w:t>
      </w:r>
      <w:bookmarkEnd w:id="2"/>
    </w:p>
    <w:p w14:paraId="70620EE3" w14:textId="77777777">
      <w:pPr>
        <w:pStyle w:val="Heading2"/>
      </w:pPr>
      <w:r>
        <w:t>3.1 Ordre temporel et mécanismes plausibles</w:t>
      </w:r>
    </w:p>
    <w:p w14:paraId="7CE20755" w14:textId="77777777">
      <w:r>
        <w:t>Le DAG de domaine est construit avant l'estimation à partir d'un ordre temporel plausible. Le mois, le profil du visiteur et le canal d'acquisition précèdent la navigation. Weekend peut modifier le temps disponible, la façon de parcourir le site et la décision d'achat. Les mesures de navigation peuvent à leur tour influer sur Revenue. PageValues est mesurée à travers la navigation et construite à partir de valeurs de pages associées aux conversions. Son ordre précis par rapport à la transaction courante éta</w:t>
      </w:r>
      <w:r>
        <w:t>nt incertain, elle est exclue conservativement de l'ajustement [1, 2].</w:t>
      </w:r>
    </w:p>
    <w:p w14:paraId="0640453D" w14:textId="77777777">
      <w:r>
        <w:t>Deux familles de causes latentes sont ajoutées au graphe. Les promotions et les prix peuvent varier selon le calendrier, modifier le canal d'arrivée et affecter l'achat. L'intention d'achat préalable peut influencer le moment de la visite, la navigation et la transaction. Ces nœuds ne sont pas estimés : ils rendent visible la principale hypothèse non vérifiable.</w:t>
      </w:r>
    </w:p>
    <w:p w14:paraId="6AACE44A" w14:textId="77777777">
      <w:pPr>
        <w:pStyle w:val="Heading2"/>
      </w:pPr>
      <w:r>
        <w:t>3.2 Arêtes retenues, interdites et ambiguës</w:t>
      </w:r>
    </w:p>
    <w:p w14:paraId="05BECE64" w14:textId="77777777">
      <w:pPr>
        <w:pStyle w:val="TableCaption"/>
      </w:pPr>
      <w:r>
        <w:t>Tableau 4. Contraintes causales intégrées au raisonnement</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800"/>
        <w:gridCol w:w="3000"/>
        <w:gridCol w:w="4560"/>
      </w:tblGrid>
      <w:tr w14:paraId="34E5DF56" w14:textId="77777777">
        <w:trPr>
          <w:cantSplit/>
          <w:tblHeader/>
        </w:trPr>
        <w:tc>
          <w:tcPr>
            <w:tcW w:w="1800" w:type="dxa"/>
            <w:shd w:val="clear" w:color="auto" w:fill="E7E6E6"/>
            <w:tcMar>
              <w:top w:w="90" w:type="dxa"/>
              <w:left w:w="120" w:type="dxa"/>
              <w:bottom w:w="90" w:type="dxa"/>
              <w:right w:w="120" w:type="dxa"/>
            </w:tcMar>
            <w:vAlign w:val="center"/>
          </w:tcPr>
          <w:p w14:paraId="04008E33" w14:textId="77777777">
            <w:pPr>
              <w:keepNext/>
              <w:keepLines/>
              <w:spacing w:after="0" w:line="252" w:lineRule="auto"/>
              <w:jc w:val="left"/>
            </w:pPr>
            <w:r>
              <w:rPr>
                <w:b/>
                <w:sz w:val="17"/>
              </w:rPr>
              <w:t>Type</w:t>
            </w:r>
          </w:p>
        </w:tc>
        <w:tc>
          <w:tcPr>
            <w:tcW w:w="3000" w:type="dxa"/>
            <w:shd w:val="clear" w:color="auto" w:fill="E7E6E6"/>
            <w:tcMar>
              <w:top w:w="90" w:type="dxa"/>
              <w:left w:w="120" w:type="dxa"/>
              <w:bottom w:w="90" w:type="dxa"/>
              <w:right w:w="120" w:type="dxa"/>
            </w:tcMar>
            <w:vAlign w:val="center"/>
          </w:tcPr>
          <w:p w14:paraId="245BF306" w14:textId="77777777">
            <w:pPr>
              <w:keepNext/>
              <w:keepLines/>
              <w:spacing w:after="0" w:line="252" w:lineRule="auto"/>
              <w:jc w:val="left"/>
            </w:pPr>
            <w:r>
              <w:rPr>
                <w:b/>
                <w:sz w:val="17"/>
              </w:rPr>
              <w:t>Relation</w:t>
            </w:r>
          </w:p>
        </w:tc>
        <w:tc>
          <w:tcPr>
            <w:tcW w:w="4560" w:type="dxa"/>
            <w:shd w:val="clear" w:color="auto" w:fill="E7E6E6"/>
            <w:tcMar>
              <w:top w:w="90" w:type="dxa"/>
              <w:left w:w="120" w:type="dxa"/>
              <w:bottom w:w="90" w:type="dxa"/>
              <w:right w:w="120" w:type="dxa"/>
            </w:tcMar>
            <w:vAlign w:val="center"/>
          </w:tcPr>
          <w:p w14:paraId="7687055E" w14:textId="77777777">
            <w:pPr>
              <w:keepNext/>
              <w:keepLines/>
              <w:spacing w:after="0" w:line="252" w:lineRule="auto"/>
              <w:jc w:val="left"/>
            </w:pPr>
            <w:r>
              <w:rPr>
                <w:b/>
                <w:sz w:val="17"/>
              </w:rPr>
              <w:t>Justification</w:t>
            </w:r>
          </w:p>
        </w:tc>
      </w:tr>
      <w:tr w14:paraId="13272070" w14:textId="77777777">
        <w:trPr>
          <w:cantSplit/>
        </w:trPr>
        <w:tc>
          <w:tcPr>
            <w:tcW w:w="1800" w:type="dxa"/>
            <w:tcMar>
              <w:top w:w="90" w:type="dxa"/>
              <w:left w:w="120" w:type="dxa"/>
              <w:bottom w:w="90" w:type="dxa"/>
              <w:right w:w="120" w:type="dxa"/>
            </w:tcMar>
            <w:vAlign w:val="center"/>
          </w:tcPr>
          <w:p w14:paraId="71B5A734" w14:textId="77777777">
            <w:pPr>
              <w:keepNext/>
              <w:keepLines/>
              <w:spacing w:after="0" w:line="252" w:lineRule="auto"/>
              <w:jc w:val="left"/>
            </w:pPr>
            <w:r>
              <w:rPr>
                <w:sz w:val="17"/>
              </w:rPr>
              <w:t>Avant la session</w:t>
            </w:r>
          </w:p>
        </w:tc>
        <w:tc>
          <w:tcPr>
            <w:tcW w:w="3000" w:type="dxa"/>
            <w:tcMar>
              <w:top w:w="90" w:type="dxa"/>
              <w:left w:w="120" w:type="dxa"/>
              <w:bottom w:w="90" w:type="dxa"/>
              <w:right w:w="120" w:type="dxa"/>
            </w:tcMar>
            <w:vAlign w:val="center"/>
          </w:tcPr>
          <w:p w14:paraId="60DC623C" w14:textId="77777777">
            <w:pPr>
              <w:keepNext/>
              <w:keepLines/>
              <w:spacing w:after="0" w:line="252" w:lineRule="auto"/>
              <w:jc w:val="left"/>
            </w:pPr>
            <w:r>
              <w:rPr>
                <w:sz w:val="17"/>
              </w:rPr>
              <w:t>Calendrier/profil → Weekend, trafic ou Revenue</w:t>
            </w:r>
          </w:p>
        </w:tc>
        <w:tc>
          <w:tcPr>
            <w:tcW w:w="4560" w:type="dxa"/>
            <w:tcMar>
              <w:top w:w="90" w:type="dxa"/>
              <w:left w:w="120" w:type="dxa"/>
              <w:bottom w:w="90" w:type="dxa"/>
              <w:right w:w="120" w:type="dxa"/>
            </w:tcMar>
            <w:vAlign w:val="center"/>
          </w:tcPr>
          <w:p w14:paraId="01B18AD1" w14:textId="77777777">
            <w:pPr>
              <w:keepNext/>
              <w:keepLines/>
              <w:spacing w:after="0" w:line="252" w:lineRule="auto"/>
              <w:jc w:val="left"/>
            </w:pPr>
            <w:r>
              <w:rPr>
                <w:sz w:val="17"/>
              </w:rPr>
              <w:t>Le contexte et le profil ne peuvent pas être causés par la transaction courante.</w:t>
            </w:r>
          </w:p>
        </w:tc>
      </w:tr>
      <w:tr w14:paraId="2288A9E8" w14:textId="77777777">
        <w:trPr>
          <w:cantSplit/>
        </w:trPr>
        <w:tc>
          <w:tcPr>
            <w:tcW w:w="1800" w:type="dxa"/>
            <w:shd w:val="clear" w:color="auto" w:fill="F7F7F7"/>
            <w:tcMar>
              <w:top w:w="90" w:type="dxa"/>
              <w:left w:w="120" w:type="dxa"/>
              <w:bottom w:w="90" w:type="dxa"/>
              <w:right w:w="120" w:type="dxa"/>
            </w:tcMar>
            <w:vAlign w:val="center"/>
          </w:tcPr>
          <w:p w14:paraId="5F14181E" w14:textId="77777777">
            <w:pPr>
              <w:keepNext/>
              <w:keepLines/>
              <w:spacing w:after="0" w:line="252" w:lineRule="auto"/>
              <w:jc w:val="left"/>
            </w:pPr>
            <w:r>
              <w:rPr>
                <w:sz w:val="17"/>
              </w:rPr>
              <w:t>Pendant la session</w:t>
            </w:r>
          </w:p>
        </w:tc>
        <w:tc>
          <w:tcPr>
            <w:tcW w:w="3000" w:type="dxa"/>
            <w:shd w:val="clear" w:color="auto" w:fill="F7F7F7"/>
            <w:tcMar>
              <w:top w:w="90" w:type="dxa"/>
              <w:left w:w="120" w:type="dxa"/>
              <w:bottom w:w="90" w:type="dxa"/>
              <w:right w:w="120" w:type="dxa"/>
            </w:tcMar>
            <w:vAlign w:val="center"/>
          </w:tcPr>
          <w:p w14:paraId="20EE26EB" w14:textId="77777777">
            <w:pPr>
              <w:keepNext/>
              <w:keepLines/>
              <w:spacing w:after="0" w:line="252" w:lineRule="auto"/>
              <w:jc w:val="left"/>
            </w:pPr>
            <w:r>
              <w:rPr>
                <w:sz w:val="17"/>
              </w:rPr>
              <w:t>Weekend/TrafficType → Navigation</w:t>
            </w:r>
          </w:p>
        </w:tc>
        <w:tc>
          <w:tcPr>
            <w:tcW w:w="4560" w:type="dxa"/>
            <w:shd w:val="clear" w:color="auto" w:fill="F7F7F7"/>
            <w:tcMar>
              <w:top w:w="90" w:type="dxa"/>
              <w:left w:w="120" w:type="dxa"/>
              <w:bottom w:w="90" w:type="dxa"/>
              <w:right w:w="120" w:type="dxa"/>
            </w:tcMar>
            <w:vAlign w:val="center"/>
          </w:tcPr>
          <w:p w14:paraId="6B57CE0D" w14:textId="77777777">
            <w:pPr>
              <w:keepNext/>
              <w:keepLines/>
              <w:spacing w:after="0" w:line="252" w:lineRule="auto"/>
              <w:jc w:val="left"/>
            </w:pPr>
            <w:r>
              <w:rPr>
                <w:sz w:val="17"/>
              </w:rPr>
              <w:t>Le moment et le canal peuvent modifier le parcours.</w:t>
            </w:r>
          </w:p>
        </w:tc>
      </w:tr>
      <w:tr w14:paraId="7227B89F" w14:textId="77777777">
        <w:trPr>
          <w:cantSplit/>
        </w:trPr>
        <w:tc>
          <w:tcPr>
            <w:tcW w:w="1800" w:type="dxa"/>
            <w:tcMar>
              <w:top w:w="90" w:type="dxa"/>
              <w:left w:w="120" w:type="dxa"/>
              <w:bottom w:w="90" w:type="dxa"/>
              <w:right w:w="120" w:type="dxa"/>
            </w:tcMar>
            <w:vAlign w:val="center"/>
          </w:tcPr>
          <w:p w14:paraId="6FEAF362" w14:textId="77777777">
            <w:pPr>
              <w:keepNext/>
              <w:keepLines/>
              <w:spacing w:after="0" w:line="252" w:lineRule="auto"/>
              <w:jc w:val="left"/>
            </w:pPr>
            <w:r>
              <w:rPr>
                <w:sz w:val="17"/>
              </w:rPr>
              <w:t>Résultat</w:t>
            </w:r>
          </w:p>
        </w:tc>
        <w:tc>
          <w:tcPr>
            <w:tcW w:w="3000" w:type="dxa"/>
            <w:tcMar>
              <w:top w:w="90" w:type="dxa"/>
              <w:left w:w="120" w:type="dxa"/>
              <w:bottom w:w="90" w:type="dxa"/>
              <w:right w:w="120" w:type="dxa"/>
            </w:tcMar>
            <w:vAlign w:val="center"/>
          </w:tcPr>
          <w:p w14:paraId="2387E918" w14:textId="77777777">
            <w:pPr>
              <w:keepNext/>
              <w:keepLines/>
              <w:spacing w:after="0" w:line="252" w:lineRule="auto"/>
              <w:jc w:val="left"/>
            </w:pPr>
            <w:r>
              <w:rPr>
                <w:sz w:val="17"/>
              </w:rPr>
              <w:t>Navigation → Revenue</w:t>
            </w:r>
          </w:p>
        </w:tc>
        <w:tc>
          <w:tcPr>
            <w:tcW w:w="4560" w:type="dxa"/>
            <w:tcMar>
              <w:top w:w="90" w:type="dxa"/>
              <w:left w:w="120" w:type="dxa"/>
              <w:bottom w:w="90" w:type="dxa"/>
              <w:right w:w="120" w:type="dxa"/>
            </w:tcMar>
            <w:vAlign w:val="center"/>
          </w:tcPr>
          <w:p w14:paraId="3006062D" w14:textId="77777777">
            <w:pPr>
              <w:keepNext/>
              <w:keepLines/>
              <w:spacing w:after="0" w:line="252" w:lineRule="auto"/>
              <w:jc w:val="left"/>
            </w:pPr>
            <w:r>
              <w:rPr>
                <w:sz w:val="17"/>
              </w:rPr>
              <w:t>Le comportement durant la session peut précéder la transaction.</w:t>
            </w:r>
          </w:p>
        </w:tc>
      </w:tr>
      <w:tr w14:paraId="701B6FDB" w14:textId="77777777">
        <w:trPr>
          <w:cantSplit/>
        </w:trPr>
        <w:tc>
          <w:tcPr>
            <w:tcW w:w="1800" w:type="dxa"/>
            <w:shd w:val="clear" w:color="auto" w:fill="F7F7F7"/>
            <w:tcMar>
              <w:top w:w="90" w:type="dxa"/>
              <w:left w:w="120" w:type="dxa"/>
              <w:bottom w:w="90" w:type="dxa"/>
              <w:right w:w="120" w:type="dxa"/>
            </w:tcMar>
            <w:vAlign w:val="center"/>
          </w:tcPr>
          <w:p w14:paraId="78E2A884" w14:textId="77777777">
            <w:pPr>
              <w:keepNext/>
              <w:keepLines/>
              <w:spacing w:after="0" w:line="252" w:lineRule="auto"/>
              <w:jc w:val="left"/>
            </w:pPr>
            <w:r>
              <w:rPr>
                <w:sz w:val="17"/>
              </w:rPr>
              <w:t>Variable proche du résultat</w:t>
            </w:r>
          </w:p>
        </w:tc>
        <w:tc>
          <w:tcPr>
            <w:tcW w:w="3000" w:type="dxa"/>
            <w:shd w:val="clear" w:color="auto" w:fill="F7F7F7"/>
            <w:tcMar>
              <w:top w:w="90" w:type="dxa"/>
              <w:left w:w="120" w:type="dxa"/>
              <w:bottom w:w="90" w:type="dxa"/>
              <w:right w:w="120" w:type="dxa"/>
            </w:tcMar>
            <w:vAlign w:val="center"/>
          </w:tcPr>
          <w:p w14:paraId="2A67BA6E" w14:textId="77777777">
            <w:pPr>
              <w:keepNext/>
              <w:keepLines/>
              <w:spacing w:after="0" w:line="252" w:lineRule="auto"/>
              <w:jc w:val="left"/>
            </w:pPr>
            <w:r>
              <w:rPr>
                <w:sz w:val="17"/>
              </w:rPr>
              <w:t>PageValues liée à la navigation et aux conversions</w:t>
            </w:r>
          </w:p>
        </w:tc>
        <w:tc>
          <w:tcPr>
            <w:tcW w:w="4560" w:type="dxa"/>
            <w:shd w:val="clear" w:color="auto" w:fill="F7F7F7"/>
            <w:tcMar>
              <w:top w:w="90" w:type="dxa"/>
              <w:left w:w="120" w:type="dxa"/>
              <w:bottom w:w="90" w:type="dxa"/>
              <w:right w:w="120" w:type="dxa"/>
            </w:tcMar>
            <w:vAlign w:val="center"/>
          </w:tcPr>
          <w:p w14:paraId="6867C5C8" w14:textId="77777777">
            <w:pPr>
              <w:keepNext/>
              <w:keepLines/>
              <w:spacing w:after="0" w:line="252" w:lineRule="auto"/>
              <w:jc w:val="left"/>
            </w:pPr>
            <w:r>
              <w:rPr>
                <w:sz w:val="17"/>
              </w:rPr>
              <w:t>Son ordre précis étant incertain, elle n'est pas retenue comme cause pré-session.</w:t>
            </w:r>
          </w:p>
        </w:tc>
      </w:tr>
      <w:tr w14:paraId="7709DC27" w14:textId="77777777">
        <w:trPr>
          <w:cantSplit/>
        </w:trPr>
        <w:tc>
          <w:tcPr>
            <w:tcW w:w="1800" w:type="dxa"/>
            <w:tcMar>
              <w:top w:w="90" w:type="dxa"/>
              <w:left w:w="120" w:type="dxa"/>
              <w:bottom w:w="90" w:type="dxa"/>
              <w:right w:w="120" w:type="dxa"/>
            </w:tcMar>
            <w:vAlign w:val="center"/>
          </w:tcPr>
          <w:p w14:paraId="679F1B78" w14:textId="77777777">
            <w:pPr>
              <w:keepNext/>
              <w:keepLines/>
              <w:spacing w:after="0" w:line="252" w:lineRule="auto"/>
              <w:jc w:val="left"/>
            </w:pPr>
            <w:r>
              <w:rPr>
                <w:sz w:val="17"/>
              </w:rPr>
              <w:t>Directions interdites</w:t>
            </w:r>
          </w:p>
        </w:tc>
        <w:tc>
          <w:tcPr>
            <w:tcW w:w="3000" w:type="dxa"/>
            <w:tcMar>
              <w:top w:w="90" w:type="dxa"/>
              <w:left w:w="120" w:type="dxa"/>
              <w:bottom w:w="90" w:type="dxa"/>
              <w:right w:w="120" w:type="dxa"/>
            </w:tcMar>
            <w:vAlign w:val="center"/>
          </w:tcPr>
          <w:p w14:paraId="5DEDAE9F" w14:textId="77777777">
            <w:pPr>
              <w:keepNext/>
              <w:keepLines/>
              <w:spacing w:after="0" w:line="252" w:lineRule="auto"/>
              <w:jc w:val="left"/>
            </w:pPr>
            <w:r>
              <w:rPr>
                <w:sz w:val="17"/>
              </w:rPr>
              <w:t>Revenue ↛ Month, Weekend, VisitorType, Region, OS, Browser</w:t>
            </w:r>
          </w:p>
        </w:tc>
        <w:tc>
          <w:tcPr>
            <w:tcW w:w="4560" w:type="dxa"/>
            <w:tcMar>
              <w:top w:w="90" w:type="dxa"/>
              <w:left w:w="120" w:type="dxa"/>
              <w:bottom w:w="90" w:type="dxa"/>
              <w:right w:w="120" w:type="dxa"/>
            </w:tcMar>
            <w:vAlign w:val="center"/>
          </w:tcPr>
          <w:p w14:paraId="0250F669" w14:textId="77777777">
            <w:pPr>
              <w:keepNext/>
              <w:keepLines/>
              <w:spacing w:after="0" w:line="252" w:lineRule="auto"/>
              <w:jc w:val="left"/>
            </w:pPr>
            <w:r>
              <w:rPr>
                <w:sz w:val="17"/>
              </w:rPr>
              <w:t>Une transaction courante ne remonte pas le temps pour modifier le contexte.</w:t>
            </w:r>
          </w:p>
        </w:tc>
      </w:tr>
      <w:tr w14:paraId="5F0AC26A" w14:textId="77777777">
        <w:trPr>
          <w:cantSplit/>
        </w:trPr>
        <w:tc>
          <w:tcPr>
            <w:tcW w:w="1800" w:type="dxa"/>
            <w:shd w:val="clear" w:color="auto" w:fill="F7F7F7"/>
            <w:tcMar>
              <w:top w:w="90" w:type="dxa"/>
              <w:left w:w="120" w:type="dxa"/>
              <w:bottom w:w="90" w:type="dxa"/>
              <w:right w:w="120" w:type="dxa"/>
            </w:tcMar>
            <w:vAlign w:val="center"/>
          </w:tcPr>
          <w:p w14:paraId="504FC559" w14:textId="77777777">
            <w:pPr>
              <w:keepNext/>
              <w:keepLines/>
              <w:spacing w:after="0" w:line="252" w:lineRule="auto"/>
              <w:jc w:val="left"/>
            </w:pPr>
            <w:r>
              <w:rPr>
                <w:sz w:val="17"/>
              </w:rPr>
              <w:t>Relation ambiguë</w:t>
            </w:r>
          </w:p>
        </w:tc>
        <w:tc>
          <w:tcPr>
            <w:tcW w:w="3000" w:type="dxa"/>
            <w:shd w:val="clear" w:color="auto" w:fill="F7F7F7"/>
            <w:tcMar>
              <w:top w:w="90" w:type="dxa"/>
              <w:left w:w="120" w:type="dxa"/>
              <w:bottom w:w="90" w:type="dxa"/>
              <w:right w:w="120" w:type="dxa"/>
            </w:tcMar>
            <w:vAlign w:val="center"/>
          </w:tcPr>
          <w:p w14:paraId="1F52B795" w14:textId="77777777">
            <w:pPr>
              <w:keepNext/>
              <w:keepLines/>
              <w:spacing w:after="0" w:line="252" w:lineRule="auto"/>
              <w:jc w:val="left"/>
            </w:pPr>
            <w:r>
              <w:rPr>
                <w:sz w:val="17"/>
              </w:rPr>
              <w:t>Ordre TrafficType–Weekend non résolu</w:t>
            </w:r>
          </w:p>
        </w:tc>
        <w:tc>
          <w:tcPr>
            <w:tcW w:w="4560" w:type="dxa"/>
            <w:shd w:val="clear" w:color="auto" w:fill="F7F7F7"/>
            <w:tcMar>
              <w:top w:w="90" w:type="dxa"/>
              <w:left w:w="120" w:type="dxa"/>
              <w:bottom w:w="90" w:type="dxa"/>
              <w:right w:w="120" w:type="dxa"/>
            </w:tcMar>
            <w:vAlign w:val="center"/>
          </w:tcPr>
          <w:p w14:paraId="43599736" w14:textId="77777777">
            <w:pPr>
              <w:keepNext/>
              <w:keepLines/>
              <w:spacing w:after="0" w:line="252" w:lineRule="auto"/>
              <w:jc w:val="left"/>
            </w:pPr>
            <w:r>
              <w:rPr>
                <w:sz w:val="17"/>
              </w:rPr>
              <w:t>Le canal peut précéder le jour ou être modifié par le calendrier.</w:t>
            </w:r>
          </w:p>
        </w:tc>
      </w:tr>
      <w:tr w14:paraId="595791C5" w14:textId="77777777">
        <w:trPr>
          <w:cantSplit/>
        </w:trPr>
        <w:tc>
          <w:tcPr>
            <w:tcW w:w="1800" w:type="dxa"/>
            <w:tcMar>
              <w:top w:w="90" w:type="dxa"/>
              <w:left w:w="120" w:type="dxa"/>
              <w:bottom w:w="90" w:type="dxa"/>
              <w:right w:w="120" w:type="dxa"/>
            </w:tcMar>
            <w:vAlign w:val="center"/>
          </w:tcPr>
          <w:p w14:paraId="3AD14782" w14:textId="77777777">
            <w:pPr>
              <w:keepNext/>
              <w:keepLines/>
              <w:spacing w:after="0" w:line="252" w:lineRule="auto"/>
              <w:jc w:val="left"/>
            </w:pPr>
            <w:r>
              <w:rPr>
                <w:sz w:val="17"/>
              </w:rPr>
              <w:t>Confusion latente</w:t>
            </w:r>
          </w:p>
        </w:tc>
        <w:tc>
          <w:tcPr>
            <w:tcW w:w="3000" w:type="dxa"/>
            <w:tcMar>
              <w:top w:w="90" w:type="dxa"/>
              <w:left w:w="120" w:type="dxa"/>
              <w:bottom w:w="90" w:type="dxa"/>
              <w:right w:w="120" w:type="dxa"/>
            </w:tcMar>
            <w:vAlign w:val="center"/>
          </w:tcPr>
          <w:p w14:paraId="09B10864" w14:textId="77777777">
            <w:pPr>
              <w:keepNext/>
              <w:keepLines/>
              <w:spacing w:after="0" w:line="252" w:lineRule="auto"/>
              <w:jc w:val="left"/>
            </w:pPr>
            <w:r>
              <w:rPr>
                <w:sz w:val="17"/>
              </w:rPr>
              <w:t>Promotions/prix et intention → Weekend et Revenue</w:t>
            </w:r>
          </w:p>
        </w:tc>
        <w:tc>
          <w:tcPr>
            <w:tcW w:w="4560" w:type="dxa"/>
            <w:tcMar>
              <w:top w:w="90" w:type="dxa"/>
              <w:left w:w="120" w:type="dxa"/>
              <w:bottom w:w="90" w:type="dxa"/>
              <w:right w:w="120" w:type="dxa"/>
            </w:tcMar>
            <w:vAlign w:val="center"/>
          </w:tcPr>
          <w:p w14:paraId="679BA6B6" w14:textId="77777777">
            <w:pPr>
              <w:keepNext/>
              <w:keepLines/>
              <w:spacing w:after="0" w:line="252" w:lineRule="auto"/>
              <w:jc w:val="left"/>
            </w:pPr>
            <w:r>
              <w:rPr>
                <w:sz w:val="17"/>
              </w:rPr>
              <w:t>Ces causes possibles ne sont pas observées.</w:t>
            </w:r>
          </w:p>
        </w:tc>
      </w:tr>
    </w:tbl>
    <w:p w14:paraId="0F8023DC" w14:textId="77777777">
      <w:pPr>
        <w:pStyle w:val="Source"/>
      </w:pPr>
      <w:r>
        <w:t>Source : connaissances temporelles et fonctionnelles explicitées dans le notebook final.</w:t>
      </w:r>
    </w:p>
    <w:p w14:paraId="41EC7AF9" w14:textId="77777777">
      <w:r>
        <w:t>Le graphe présenté à la figure 2 est le graphe de travail final utilisé pour choisir l'ajustement. Il ne prétend pas être le vrai mécanisme complet. Sa fonction est de rendre les choix audités : ajuster sur les causes pré-session mesurées, éviter les variables de navigation et montrer explicitement les chemins impossibles à bloquer avec la base disponible.</w:t>
      </w:r>
    </w:p>
    <w:p w14:paraId="28368A4F" w14:textId="77777777">
      <w:pPr>
        <w:keepLines/>
      </w:pPr>
      <w:r>
        <w:lastRenderedPageBreak/>
        <w:t>La position de PageValues y encode son statut aval ou proche du résultat, sans prétendre établir que la transaction courante cause directement sa valeur.</w:t>
      </w:r>
    </w:p>
    <w:p w14:paraId="4F64C919" w14:textId="77777777">
      <w:pPr>
        <w:keepNext/>
        <w:keepLines/>
        <w:spacing w:before="100" w:after="40"/>
        <w:jc w:val="center"/>
      </w:pPr>
      <w:r>
        <w:rPr>
          <w:noProof/>
        </w:rPr>
        <w:drawing>
          <wp:inline distT="0" distB="0" distL="0" distR="0" wp14:anchorId="0F7CB620" wp14:editId="3E63B0A8">
            <wp:extent cx="5760720" cy="2514897"/>
            <wp:effectExtent l="0" t="0" r="0" b="0"/>
            <wp:docPr id="2" name="Picture 2" descr="DAG reliant calendrier, profil, canal de trafic, weekend, navigation, transaction et PageValues, avec promotions et intention d'achat non observées." title="Figure 2. DAG de domaine utilisé pour raisonner sur l'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g_de_travail.png"/>
                    <pic:cNvPicPr/>
                  </pic:nvPicPr>
                  <pic:blipFill>
                    <a:blip r:embed="rId13"/>
                    <a:srcRect t="4500"/>
                    <a:stretch>
                      <a:fillRect/>
                    </a:stretch>
                  </pic:blipFill>
                  <pic:spPr>
                    <a:xfrm>
                      <a:off x="0" y="0"/>
                      <a:ext cx="5760720" cy="2514897"/>
                    </a:xfrm>
                    <a:prstGeom prst="rect">
                      <a:avLst/>
                    </a:prstGeom>
                  </pic:spPr>
                </pic:pic>
              </a:graphicData>
            </a:graphic>
          </wp:inline>
        </w:drawing>
      </w:r>
    </w:p>
    <w:p w14:paraId="68839A19" w14:textId="77777777">
      <w:pPr>
        <w:pStyle w:val="Caption"/>
      </w:pPr>
      <w:r>
        <w:t>Figure 2. DAG de domaine utilisé pour raisonner sur l'identification</w:t>
      </w:r>
    </w:p>
    <w:p w14:paraId="1BBB9F01" w14:textId="77777777">
      <w:pPr>
        <w:pStyle w:val="Source"/>
      </w:pPr>
      <w:r>
        <w:t>Source : construction raisonnée; les flèches pointillées représentent des causes non observées plausibles.</w:t>
      </w:r>
    </w:p>
    <w:p w14:paraId="07CFAEC0" w14:textId="77777777">
      <w:pPr>
        <w:pStyle w:val="Heading2"/>
      </w:pPr>
      <w:r>
        <w:t>3.3 Ensemble d'ajustement proposé</w:t>
      </w:r>
    </w:p>
    <w:p w14:paraId="456FB6DE" w14:textId="77777777">
      <w:pPr>
        <w:pStyle w:val="Equation"/>
      </w:pPr>
      <w:r>
        <w:t>Z = {Month, VisitorType, Region, OperatingSystems, Browser, TrafficType}</w:t>
      </w:r>
    </w:p>
    <w:p w14:paraId="69C7488C" w14:textId="77777777">
      <w:r>
        <w:t>Dans le sous-graphe observé, Z bloque les chemins de porte arrière passant par le calendrier, le profil et le canal d'acquisition. Aucun instrument crédible ni mécanisme frontdoor complet n'est disponible. Si les causes latentes dessinées influencent réellement Weekend et Revenue, Z ne suffit plus : l'effet n'est alors pas garanti comme point-identifié. Le rapport formule donc les estimations comme causales exploratoires sous hypothèses.</w:t>
      </w:r>
    </w:p>
    <w:p w14:paraId="1D372443" w14:textId="77777777">
      <w:pPr>
        <w:pStyle w:val="Heading1"/>
      </w:pPr>
      <w:bookmarkStart w:id="3" w:name="_Toc235024099"/>
      <w:r>
        <w:t>4. Découverte causale exploratoire</w:t>
      </w:r>
      <w:bookmarkEnd w:id="3"/>
    </w:p>
    <w:p w14:paraId="6776EC6A" w14:textId="77777777">
      <w:pPr>
        <w:pStyle w:val="Heading2"/>
      </w:pPr>
      <w:r>
        <w:t>4.1 Pourquoi FCI ?</w:t>
      </w:r>
    </w:p>
    <w:p w14:paraId="585882B0" w14:textId="77777777">
      <w:r>
        <w:t>Le DAG n'est que partiellement connu et des causes latentes sont plausibles. FCI est choisi plutôt que PC parce qu'il n'exige pas la suffisance causale et renvoie un PAG, c'est-à-dire une classe de graphes compatibles avec les indépendances conditionnelles détectées [5]. Cette propriété correspond mieux au risque de promotions, prix ou intentions non mesurés.</w:t>
      </w:r>
    </w:p>
    <w:p w14:paraId="569A6E28" w14:textId="77777777">
      <w:r>
        <w:t>FCI reste un outil exploratoire. Il suppose notamment une structure acyclique compatible avec les propriétés de Markov et de fidélité, des observations suffisamment indépendantes et des tests conditionnels valides. La base ne contient qu'une session par utilisateur selon UCI, ce qui réduit une dépendance évidente entre visites répétées, mais le conditionnement sur l'existence d'une session peut encore créer une sélection que l'algorithme ne résout pas.</w:t>
      </w:r>
    </w:p>
    <w:p w14:paraId="7D80D4A9" w14:textId="77777777">
      <w:pPr>
        <w:pStyle w:val="Heading2"/>
      </w:pPr>
      <w:r>
        <w:lastRenderedPageBreak/>
        <w:t>4.2 Variables, test et contraintes temporelles</w:t>
      </w:r>
    </w:p>
    <w:p w14:paraId="526B5952" w14:textId="77777777">
      <w:pPr>
        <w:pStyle w:val="TableCaption"/>
      </w:pPr>
      <w:r>
        <w:t>Tableau 5. Variables regroupées pour l'analyse FCI</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2000"/>
        <w:gridCol w:w="4800"/>
        <w:gridCol w:w="2560"/>
      </w:tblGrid>
      <w:tr w14:paraId="50E71B3E" w14:textId="77777777">
        <w:trPr>
          <w:cantSplit/>
          <w:tblHeader/>
        </w:trPr>
        <w:tc>
          <w:tcPr>
            <w:tcW w:w="2000" w:type="dxa"/>
            <w:shd w:val="clear" w:color="auto" w:fill="E7E6E6"/>
            <w:tcMar>
              <w:top w:w="90" w:type="dxa"/>
              <w:left w:w="120" w:type="dxa"/>
              <w:bottom w:w="90" w:type="dxa"/>
              <w:right w:w="120" w:type="dxa"/>
            </w:tcMar>
            <w:vAlign w:val="center"/>
          </w:tcPr>
          <w:p w14:paraId="7B4E776D" w14:textId="77777777">
            <w:pPr>
              <w:keepNext/>
              <w:keepLines/>
              <w:spacing w:after="0" w:line="252" w:lineRule="auto"/>
              <w:jc w:val="left"/>
            </w:pPr>
            <w:r>
              <w:rPr>
                <w:b/>
                <w:sz w:val="17"/>
              </w:rPr>
              <w:t>Variable FCI</w:t>
            </w:r>
          </w:p>
        </w:tc>
        <w:tc>
          <w:tcPr>
            <w:tcW w:w="4800" w:type="dxa"/>
            <w:shd w:val="clear" w:color="auto" w:fill="E7E6E6"/>
            <w:tcMar>
              <w:top w:w="90" w:type="dxa"/>
              <w:left w:w="120" w:type="dxa"/>
              <w:bottom w:w="90" w:type="dxa"/>
              <w:right w:w="120" w:type="dxa"/>
            </w:tcMar>
            <w:vAlign w:val="center"/>
          </w:tcPr>
          <w:p w14:paraId="0C488C3C" w14:textId="77777777">
            <w:pPr>
              <w:keepNext/>
              <w:keepLines/>
              <w:spacing w:after="0" w:line="252" w:lineRule="auto"/>
              <w:jc w:val="left"/>
            </w:pPr>
            <w:r>
              <w:rPr>
                <w:b/>
                <w:sz w:val="17"/>
              </w:rPr>
              <w:t>Codage</w:t>
            </w:r>
          </w:p>
        </w:tc>
        <w:tc>
          <w:tcPr>
            <w:tcW w:w="2560" w:type="dxa"/>
            <w:shd w:val="clear" w:color="auto" w:fill="E7E6E6"/>
            <w:tcMar>
              <w:top w:w="90" w:type="dxa"/>
              <w:left w:w="120" w:type="dxa"/>
              <w:bottom w:w="90" w:type="dxa"/>
              <w:right w:w="120" w:type="dxa"/>
            </w:tcMar>
            <w:vAlign w:val="center"/>
          </w:tcPr>
          <w:p w14:paraId="5638822F" w14:textId="77777777">
            <w:pPr>
              <w:keepNext/>
              <w:keepLines/>
              <w:spacing w:after="0" w:line="252" w:lineRule="auto"/>
              <w:jc w:val="left"/>
            </w:pPr>
            <w:r>
              <w:rPr>
                <w:b/>
                <w:sz w:val="17"/>
              </w:rPr>
              <w:t>Contrainte</w:t>
            </w:r>
          </w:p>
        </w:tc>
      </w:tr>
      <w:tr w14:paraId="27EB78A8" w14:textId="77777777">
        <w:trPr>
          <w:cantSplit/>
        </w:trPr>
        <w:tc>
          <w:tcPr>
            <w:tcW w:w="2000" w:type="dxa"/>
            <w:tcMar>
              <w:top w:w="90" w:type="dxa"/>
              <w:left w:w="120" w:type="dxa"/>
              <w:bottom w:w="90" w:type="dxa"/>
              <w:right w:w="120" w:type="dxa"/>
            </w:tcMar>
            <w:vAlign w:val="center"/>
          </w:tcPr>
          <w:p w14:paraId="4D0CEF04" w14:textId="77777777">
            <w:pPr>
              <w:keepNext/>
              <w:keepLines/>
              <w:spacing w:after="0" w:line="252" w:lineRule="auto"/>
              <w:jc w:val="left"/>
            </w:pPr>
            <w:r>
              <w:rPr>
                <w:sz w:val="17"/>
              </w:rPr>
              <w:t>Période</w:t>
            </w:r>
          </w:p>
        </w:tc>
        <w:tc>
          <w:tcPr>
            <w:tcW w:w="4800" w:type="dxa"/>
            <w:tcMar>
              <w:top w:w="90" w:type="dxa"/>
              <w:left w:w="120" w:type="dxa"/>
              <w:bottom w:w="90" w:type="dxa"/>
              <w:right w:w="120" w:type="dxa"/>
            </w:tcMar>
            <w:vAlign w:val="center"/>
          </w:tcPr>
          <w:p w14:paraId="043A4FF6" w14:textId="77777777">
            <w:pPr>
              <w:keepNext/>
              <w:keepLines/>
              <w:spacing w:after="0" w:line="252" w:lineRule="auto"/>
              <w:jc w:val="left"/>
            </w:pPr>
            <w:r>
              <w:rPr>
                <w:sz w:val="17"/>
              </w:rPr>
              <w:t>Feb-Mar; May-June; Jul-Aug-Sep; Oct-Nov-Dec</w:t>
            </w:r>
          </w:p>
        </w:tc>
        <w:tc>
          <w:tcPr>
            <w:tcW w:w="2560" w:type="dxa"/>
            <w:tcMar>
              <w:top w:w="90" w:type="dxa"/>
              <w:left w:w="120" w:type="dxa"/>
              <w:bottom w:w="90" w:type="dxa"/>
              <w:right w:w="120" w:type="dxa"/>
            </w:tcMar>
            <w:vAlign w:val="center"/>
          </w:tcPr>
          <w:p w14:paraId="4C1A4C3C" w14:textId="77777777">
            <w:pPr>
              <w:keepNext/>
              <w:keepLines/>
              <w:spacing w:after="0" w:line="252" w:lineRule="auto"/>
              <w:jc w:val="left"/>
            </w:pPr>
            <w:r>
              <w:rPr>
                <w:sz w:val="17"/>
              </w:rPr>
              <w:t>Niveau temporel 1</w:t>
            </w:r>
          </w:p>
        </w:tc>
      </w:tr>
      <w:tr w14:paraId="3D0CA97F" w14:textId="77777777">
        <w:trPr>
          <w:cantSplit/>
        </w:trPr>
        <w:tc>
          <w:tcPr>
            <w:tcW w:w="2000" w:type="dxa"/>
            <w:shd w:val="clear" w:color="auto" w:fill="F7F7F7"/>
            <w:tcMar>
              <w:top w:w="90" w:type="dxa"/>
              <w:left w:w="120" w:type="dxa"/>
              <w:bottom w:w="90" w:type="dxa"/>
              <w:right w:w="120" w:type="dxa"/>
            </w:tcMar>
            <w:vAlign w:val="center"/>
          </w:tcPr>
          <w:p w14:paraId="0F809D3A" w14:textId="77777777">
            <w:pPr>
              <w:keepNext/>
              <w:keepLines/>
              <w:spacing w:after="0" w:line="252" w:lineRule="auto"/>
              <w:jc w:val="left"/>
            </w:pPr>
            <w:r>
              <w:rPr>
                <w:sz w:val="17"/>
              </w:rPr>
              <w:t>Jour spécial</w:t>
            </w:r>
          </w:p>
        </w:tc>
        <w:tc>
          <w:tcPr>
            <w:tcW w:w="4800" w:type="dxa"/>
            <w:shd w:val="clear" w:color="auto" w:fill="F7F7F7"/>
            <w:tcMar>
              <w:top w:w="90" w:type="dxa"/>
              <w:left w:w="120" w:type="dxa"/>
              <w:bottom w:w="90" w:type="dxa"/>
              <w:right w:w="120" w:type="dxa"/>
            </w:tcMar>
            <w:vAlign w:val="center"/>
          </w:tcPr>
          <w:p w14:paraId="541C6587" w14:textId="77777777">
            <w:pPr>
              <w:keepNext/>
              <w:keepLines/>
              <w:spacing w:after="0" w:line="252" w:lineRule="auto"/>
              <w:jc w:val="left"/>
            </w:pPr>
            <w:r>
              <w:rPr>
                <w:sz w:val="17"/>
              </w:rPr>
              <w:t>SpecialDay &gt; 0 : oui/non</w:t>
            </w:r>
          </w:p>
        </w:tc>
        <w:tc>
          <w:tcPr>
            <w:tcW w:w="2560" w:type="dxa"/>
            <w:shd w:val="clear" w:color="auto" w:fill="F7F7F7"/>
            <w:tcMar>
              <w:top w:w="90" w:type="dxa"/>
              <w:left w:w="120" w:type="dxa"/>
              <w:bottom w:w="90" w:type="dxa"/>
              <w:right w:w="120" w:type="dxa"/>
            </w:tcMar>
            <w:vAlign w:val="center"/>
          </w:tcPr>
          <w:p w14:paraId="606FD35E" w14:textId="77777777">
            <w:pPr>
              <w:keepNext/>
              <w:keepLines/>
              <w:spacing w:after="0" w:line="252" w:lineRule="auto"/>
              <w:jc w:val="left"/>
            </w:pPr>
            <w:r>
              <w:rPr>
                <w:sz w:val="17"/>
              </w:rPr>
              <w:t>Niveau temporel 1</w:t>
            </w:r>
          </w:p>
        </w:tc>
      </w:tr>
      <w:tr w14:paraId="03AB2A65" w14:textId="77777777">
        <w:trPr>
          <w:cantSplit/>
        </w:trPr>
        <w:tc>
          <w:tcPr>
            <w:tcW w:w="2000" w:type="dxa"/>
            <w:tcMar>
              <w:top w:w="90" w:type="dxa"/>
              <w:left w:w="120" w:type="dxa"/>
              <w:bottom w:w="90" w:type="dxa"/>
              <w:right w:w="120" w:type="dxa"/>
            </w:tcMar>
            <w:vAlign w:val="center"/>
          </w:tcPr>
          <w:p w14:paraId="29CF39A4" w14:textId="77777777">
            <w:pPr>
              <w:keepNext/>
              <w:keepLines/>
              <w:spacing w:after="0" w:line="252" w:lineRule="auto"/>
              <w:jc w:val="left"/>
            </w:pPr>
            <w:r>
              <w:rPr>
                <w:sz w:val="17"/>
              </w:rPr>
              <w:t>Nouveau visiteur</w:t>
            </w:r>
          </w:p>
        </w:tc>
        <w:tc>
          <w:tcPr>
            <w:tcW w:w="4800" w:type="dxa"/>
            <w:tcMar>
              <w:top w:w="90" w:type="dxa"/>
              <w:left w:w="120" w:type="dxa"/>
              <w:bottom w:w="90" w:type="dxa"/>
              <w:right w:w="120" w:type="dxa"/>
            </w:tcMar>
            <w:vAlign w:val="center"/>
          </w:tcPr>
          <w:p w14:paraId="0DE30D84" w14:textId="77777777">
            <w:pPr>
              <w:keepNext/>
              <w:keepLines/>
              <w:spacing w:after="0" w:line="252" w:lineRule="auto"/>
              <w:jc w:val="left"/>
            </w:pPr>
            <w:r>
              <w:rPr>
                <w:sz w:val="17"/>
              </w:rPr>
              <w:t>VisitorType = New_Visitor : oui/non</w:t>
            </w:r>
          </w:p>
        </w:tc>
        <w:tc>
          <w:tcPr>
            <w:tcW w:w="2560" w:type="dxa"/>
            <w:tcMar>
              <w:top w:w="90" w:type="dxa"/>
              <w:left w:w="120" w:type="dxa"/>
              <w:bottom w:w="90" w:type="dxa"/>
              <w:right w:w="120" w:type="dxa"/>
            </w:tcMar>
            <w:vAlign w:val="center"/>
          </w:tcPr>
          <w:p w14:paraId="5A8A38A0" w14:textId="77777777">
            <w:pPr>
              <w:keepNext/>
              <w:keepLines/>
              <w:spacing w:after="0" w:line="252" w:lineRule="auto"/>
              <w:jc w:val="left"/>
            </w:pPr>
            <w:r>
              <w:rPr>
                <w:sz w:val="17"/>
              </w:rPr>
              <w:t>Niveau temporel 1</w:t>
            </w:r>
          </w:p>
        </w:tc>
      </w:tr>
      <w:tr w14:paraId="14F1E99B" w14:textId="77777777">
        <w:trPr>
          <w:cantSplit/>
        </w:trPr>
        <w:tc>
          <w:tcPr>
            <w:tcW w:w="2000" w:type="dxa"/>
            <w:shd w:val="clear" w:color="auto" w:fill="F7F7F7"/>
            <w:tcMar>
              <w:top w:w="90" w:type="dxa"/>
              <w:left w:w="120" w:type="dxa"/>
              <w:bottom w:w="90" w:type="dxa"/>
              <w:right w:w="120" w:type="dxa"/>
            </w:tcMar>
            <w:vAlign w:val="center"/>
          </w:tcPr>
          <w:p w14:paraId="5886171E" w14:textId="77777777">
            <w:pPr>
              <w:keepNext/>
              <w:keepLines/>
              <w:spacing w:after="0" w:line="252" w:lineRule="auto"/>
              <w:jc w:val="left"/>
            </w:pPr>
            <w:r>
              <w:rPr>
                <w:sz w:val="17"/>
              </w:rPr>
              <w:t>Source de trafic</w:t>
            </w:r>
          </w:p>
        </w:tc>
        <w:tc>
          <w:tcPr>
            <w:tcW w:w="4800" w:type="dxa"/>
            <w:shd w:val="clear" w:color="auto" w:fill="F7F7F7"/>
            <w:tcMar>
              <w:top w:w="90" w:type="dxa"/>
              <w:left w:w="120" w:type="dxa"/>
              <w:bottom w:w="90" w:type="dxa"/>
              <w:right w:w="120" w:type="dxa"/>
            </w:tcMar>
            <w:vAlign w:val="center"/>
          </w:tcPr>
          <w:p w14:paraId="2B31BD1B" w14:textId="77777777">
            <w:pPr>
              <w:keepNext/>
              <w:keepLines/>
              <w:spacing w:after="0" w:line="252" w:lineRule="auto"/>
              <w:jc w:val="left"/>
            </w:pPr>
            <w:r>
              <w:rPr>
                <w:sz w:val="17"/>
              </w:rPr>
              <w:t>Types 1, 2, 3; autres</w:t>
            </w:r>
          </w:p>
        </w:tc>
        <w:tc>
          <w:tcPr>
            <w:tcW w:w="2560" w:type="dxa"/>
            <w:shd w:val="clear" w:color="auto" w:fill="F7F7F7"/>
            <w:tcMar>
              <w:top w:w="90" w:type="dxa"/>
              <w:left w:w="120" w:type="dxa"/>
              <w:bottom w:w="90" w:type="dxa"/>
              <w:right w:w="120" w:type="dxa"/>
            </w:tcMar>
            <w:vAlign w:val="center"/>
          </w:tcPr>
          <w:p w14:paraId="2E307B2B" w14:textId="77777777">
            <w:pPr>
              <w:keepNext/>
              <w:keepLines/>
              <w:spacing w:after="0" w:line="252" w:lineRule="auto"/>
              <w:jc w:val="left"/>
            </w:pPr>
            <w:r>
              <w:rPr>
                <w:sz w:val="17"/>
              </w:rPr>
              <w:t>Niveau temporel 2</w:t>
            </w:r>
          </w:p>
        </w:tc>
      </w:tr>
      <w:tr w14:paraId="5C09F902" w14:textId="77777777">
        <w:trPr>
          <w:cantSplit/>
        </w:trPr>
        <w:tc>
          <w:tcPr>
            <w:tcW w:w="2000" w:type="dxa"/>
            <w:tcMar>
              <w:top w:w="90" w:type="dxa"/>
              <w:left w:w="120" w:type="dxa"/>
              <w:bottom w:w="90" w:type="dxa"/>
              <w:right w:w="120" w:type="dxa"/>
            </w:tcMar>
            <w:vAlign w:val="center"/>
          </w:tcPr>
          <w:p w14:paraId="1F9B8FA4" w14:textId="77777777">
            <w:pPr>
              <w:keepNext/>
              <w:keepLines/>
              <w:spacing w:after="0" w:line="252" w:lineRule="auto"/>
              <w:jc w:val="left"/>
            </w:pPr>
            <w:r>
              <w:rPr>
                <w:sz w:val="17"/>
              </w:rPr>
              <w:t>Weekend</w:t>
            </w:r>
          </w:p>
        </w:tc>
        <w:tc>
          <w:tcPr>
            <w:tcW w:w="4800" w:type="dxa"/>
            <w:tcMar>
              <w:top w:w="90" w:type="dxa"/>
              <w:left w:w="120" w:type="dxa"/>
              <w:bottom w:w="90" w:type="dxa"/>
              <w:right w:w="120" w:type="dxa"/>
            </w:tcMar>
            <w:vAlign w:val="center"/>
          </w:tcPr>
          <w:p w14:paraId="2DE24020" w14:textId="77777777">
            <w:pPr>
              <w:keepNext/>
              <w:keepLines/>
              <w:spacing w:after="0" w:line="252" w:lineRule="auto"/>
              <w:jc w:val="left"/>
            </w:pPr>
            <w:r>
              <w:rPr>
                <w:sz w:val="17"/>
              </w:rPr>
              <w:t>Oui/non</w:t>
            </w:r>
          </w:p>
        </w:tc>
        <w:tc>
          <w:tcPr>
            <w:tcW w:w="2560" w:type="dxa"/>
            <w:tcMar>
              <w:top w:w="90" w:type="dxa"/>
              <w:left w:w="120" w:type="dxa"/>
              <w:bottom w:w="90" w:type="dxa"/>
              <w:right w:w="120" w:type="dxa"/>
            </w:tcMar>
            <w:vAlign w:val="center"/>
          </w:tcPr>
          <w:p w14:paraId="5BC2D248" w14:textId="77777777">
            <w:pPr>
              <w:keepNext/>
              <w:keepLines/>
              <w:spacing w:after="0" w:line="252" w:lineRule="auto"/>
              <w:jc w:val="left"/>
            </w:pPr>
            <w:r>
              <w:rPr>
                <w:sz w:val="17"/>
              </w:rPr>
              <w:t>Niveau temporel 2</w:t>
            </w:r>
          </w:p>
        </w:tc>
      </w:tr>
      <w:tr w14:paraId="38ECE020" w14:textId="77777777">
        <w:trPr>
          <w:cantSplit/>
        </w:trPr>
        <w:tc>
          <w:tcPr>
            <w:tcW w:w="2000" w:type="dxa"/>
            <w:shd w:val="clear" w:color="auto" w:fill="F7F7F7"/>
            <w:tcMar>
              <w:top w:w="90" w:type="dxa"/>
              <w:left w:w="120" w:type="dxa"/>
              <w:bottom w:w="90" w:type="dxa"/>
              <w:right w:w="120" w:type="dxa"/>
            </w:tcMar>
            <w:vAlign w:val="center"/>
          </w:tcPr>
          <w:p w14:paraId="05A2AE4D" w14:textId="77777777">
            <w:pPr>
              <w:keepNext/>
              <w:keepLines/>
              <w:spacing w:after="0" w:line="252" w:lineRule="auto"/>
              <w:jc w:val="left"/>
            </w:pPr>
            <w:r>
              <w:rPr>
                <w:sz w:val="17"/>
              </w:rPr>
              <w:t>Revenue</w:t>
            </w:r>
          </w:p>
        </w:tc>
        <w:tc>
          <w:tcPr>
            <w:tcW w:w="4800" w:type="dxa"/>
            <w:shd w:val="clear" w:color="auto" w:fill="F7F7F7"/>
            <w:tcMar>
              <w:top w:w="90" w:type="dxa"/>
              <w:left w:w="120" w:type="dxa"/>
              <w:bottom w:w="90" w:type="dxa"/>
              <w:right w:w="120" w:type="dxa"/>
            </w:tcMar>
            <w:vAlign w:val="center"/>
          </w:tcPr>
          <w:p w14:paraId="4D057B04" w14:textId="77777777">
            <w:pPr>
              <w:keepNext/>
              <w:keepLines/>
              <w:spacing w:after="0" w:line="252" w:lineRule="auto"/>
              <w:jc w:val="left"/>
            </w:pPr>
            <w:r>
              <w:rPr>
                <w:sz w:val="17"/>
              </w:rPr>
              <w:t>Transaction oui/non</w:t>
            </w:r>
          </w:p>
        </w:tc>
        <w:tc>
          <w:tcPr>
            <w:tcW w:w="2560" w:type="dxa"/>
            <w:shd w:val="clear" w:color="auto" w:fill="F7F7F7"/>
            <w:tcMar>
              <w:top w:w="90" w:type="dxa"/>
              <w:left w:w="120" w:type="dxa"/>
              <w:bottom w:w="90" w:type="dxa"/>
              <w:right w:w="120" w:type="dxa"/>
            </w:tcMar>
            <w:vAlign w:val="center"/>
          </w:tcPr>
          <w:p w14:paraId="664D2763" w14:textId="77777777">
            <w:pPr>
              <w:keepNext/>
              <w:keepLines/>
              <w:spacing w:after="0" w:line="252" w:lineRule="auto"/>
              <w:jc w:val="left"/>
            </w:pPr>
            <w:r>
              <w:rPr>
                <w:sz w:val="17"/>
              </w:rPr>
              <w:t>Niveau temporel 3</w:t>
            </w:r>
          </w:p>
        </w:tc>
      </w:tr>
    </w:tbl>
    <w:p w14:paraId="725EF953" w14:textId="77777777">
      <w:pPr>
        <w:pStyle w:val="Source"/>
      </w:pPr>
      <w:r>
        <w:t>Source : paramétrage de la cellule FCI du notebook final; base complète N = 12 330.</w:t>
      </w:r>
    </w:p>
    <w:p w14:paraId="408FCCDA" w14:textId="77777777">
      <w:r>
        <w:t>Les six variables sont discrétisées afin d'utiliser un test G². Le seuil principal est α = 0,01, la profondeur maximale des ensembles conditionnants est 2 et la longueur maximale des chemins explorés est 3. Ces limites réduisent la variance des tableaux de contingence et le coût du calcul, au prix d'une exploration moins exhaustive. Les niveaux temporels empêchent les variables tardives de causer les variables précoces; certaines orientations du PAG proviennent donc de connaissances imposées, et non des seu</w:t>
      </w:r>
      <w:r>
        <w:t>les données.</w:t>
      </w:r>
    </w:p>
    <w:p w14:paraId="67B2B005" w14:textId="77777777">
      <w:pPr>
        <w:keepNext/>
        <w:keepLines/>
        <w:spacing w:before="100" w:after="40"/>
        <w:jc w:val="center"/>
      </w:pPr>
      <w:r>
        <w:rPr>
          <w:noProof/>
        </w:rPr>
        <w:drawing>
          <wp:inline distT="0" distB="0" distL="0" distR="0" wp14:anchorId="117CFE5E" wp14:editId="03370DC1">
            <wp:extent cx="5532120" cy="2581427"/>
            <wp:effectExtent l="0" t="0" r="0" b="0"/>
            <wp:docPr id="3" name="Picture 3" descr="PAG à six variables montrant les orientations complètes, partielles et indéterminées; aucune arête directe Weekend-Revenue." title="Figure 3. PAG exploratoire obtenu avec F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g_fci.png"/>
                    <pic:cNvPicPr/>
                  </pic:nvPicPr>
                  <pic:blipFill>
                    <a:blip r:embed="rId14"/>
                    <a:srcRect t="6500" b="8000"/>
                    <a:stretch>
                      <a:fillRect/>
                    </a:stretch>
                  </pic:blipFill>
                  <pic:spPr>
                    <a:xfrm>
                      <a:off x="0" y="0"/>
                      <a:ext cx="5532120" cy="2581427"/>
                    </a:xfrm>
                    <a:prstGeom prst="rect">
                      <a:avLst/>
                    </a:prstGeom>
                  </pic:spPr>
                </pic:pic>
              </a:graphicData>
            </a:graphic>
          </wp:inline>
        </w:drawing>
      </w:r>
    </w:p>
    <w:p w14:paraId="4D178E13" w14:textId="77777777">
      <w:pPr>
        <w:pStyle w:val="Caption"/>
      </w:pPr>
      <w:r>
        <w:t>Figure 3. PAG exploratoire obtenu avec FCI</w:t>
      </w:r>
    </w:p>
    <w:p w14:paraId="1BB25C13" w14:textId="77777777">
      <w:pPr>
        <w:pStyle w:val="Source"/>
      </w:pPr>
      <w:r>
        <w:t>Source : FCI sur la base complète, test G², α = 0,01, profondeur 2, chemin maximal 3. Notation : o—o indéterminée; o→ partielle; → imposée.</w:t>
      </w:r>
    </w:p>
    <w:p w14:paraId="24831155" w14:textId="77777777">
      <w:pPr>
        <w:pStyle w:val="TableCaption"/>
      </w:pPr>
      <w:r>
        <w:lastRenderedPageBreak/>
        <w:t>Tableau 6. Stabilité de l'adjacence Weekend-Revenue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300"/>
        <w:gridCol w:w="1300"/>
        <w:gridCol w:w="2500"/>
        <w:gridCol w:w="4260"/>
      </w:tblGrid>
      <w:tr w14:paraId="78F62AA6" w14:textId="77777777">
        <w:trPr>
          <w:cantSplit/>
          <w:tblHeader/>
        </w:trPr>
        <w:tc>
          <w:tcPr>
            <w:tcW w:w="1300" w:type="dxa"/>
            <w:shd w:val="clear" w:color="auto" w:fill="E7E6E6"/>
            <w:tcMar>
              <w:top w:w="90" w:type="dxa"/>
              <w:left w:w="120" w:type="dxa"/>
              <w:bottom w:w="90" w:type="dxa"/>
              <w:right w:w="120" w:type="dxa"/>
            </w:tcMar>
            <w:vAlign w:val="center"/>
          </w:tcPr>
          <w:p w14:paraId="533CA7D8" w14:textId="77777777">
            <w:pPr>
              <w:keepNext/>
              <w:keepLines/>
              <w:spacing w:after="0" w:line="252" w:lineRule="auto"/>
              <w:jc w:val="right"/>
            </w:pPr>
            <w:r>
              <w:rPr>
                <w:b/>
                <w:sz w:val="17"/>
              </w:rPr>
              <w:t>α</w:t>
            </w:r>
          </w:p>
        </w:tc>
        <w:tc>
          <w:tcPr>
            <w:tcW w:w="1300" w:type="dxa"/>
            <w:shd w:val="clear" w:color="auto" w:fill="E7E6E6"/>
            <w:tcMar>
              <w:top w:w="90" w:type="dxa"/>
              <w:left w:w="120" w:type="dxa"/>
              <w:bottom w:w="90" w:type="dxa"/>
              <w:right w:w="120" w:type="dxa"/>
            </w:tcMar>
            <w:vAlign w:val="center"/>
          </w:tcPr>
          <w:p w14:paraId="58FFEBA0" w14:textId="77777777">
            <w:pPr>
              <w:keepNext/>
              <w:keepLines/>
              <w:spacing w:after="0" w:line="252" w:lineRule="auto"/>
              <w:jc w:val="right"/>
            </w:pPr>
            <w:r>
              <w:rPr>
                <w:b/>
                <w:sz w:val="17"/>
              </w:rPr>
              <w:t>Arêtes</w:t>
            </w:r>
          </w:p>
        </w:tc>
        <w:tc>
          <w:tcPr>
            <w:tcW w:w="2500" w:type="dxa"/>
            <w:shd w:val="clear" w:color="auto" w:fill="E7E6E6"/>
            <w:tcMar>
              <w:top w:w="90" w:type="dxa"/>
              <w:left w:w="120" w:type="dxa"/>
              <w:bottom w:w="90" w:type="dxa"/>
              <w:right w:w="120" w:type="dxa"/>
            </w:tcMar>
            <w:vAlign w:val="center"/>
          </w:tcPr>
          <w:p w14:paraId="6CFF3103" w14:textId="77777777">
            <w:pPr>
              <w:keepNext/>
              <w:keepLines/>
              <w:spacing w:after="0" w:line="252" w:lineRule="auto"/>
              <w:jc w:val="left"/>
            </w:pPr>
            <w:r>
              <w:rPr>
                <w:b/>
                <w:sz w:val="17"/>
              </w:rPr>
              <w:t>Weekend-Revenue</w:t>
            </w:r>
          </w:p>
        </w:tc>
        <w:tc>
          <w:tcPr>
            <w:tcW w:w="4260" w:type="dxa"/>
            <w:shd w:val="clear" w:color="auto" w:fill="E7E6E6"/>
            <w:tcMar>
              <w:top w:w="90" w:type="dxa"/>
              <w:left w:w="120" w:type="dxa"/>
              <w:bottom w:w="90" w:type="dxa"/>
              <w:right w:w="120" w:type="dxa"/>
            </w:tcMar>
            <w:vAlign w:val="center"/>
          </w:tcPr>
          <w:p w14:paraId="150842C5" w14:textId="77777777">
            <w:pPr>
              <w:keepNext/>
              <w:keepLines/>
              <w:spacing w:after="0" w:line="252" w:lineRule="auto"/>
              <w:jc w:val="left"/>
            </w:pPr>
            <w:r>
              <w:rPr>
                <w:b/>
                <w:sz w:val="17"/>
              </w:rPr>
              <w:t>Voisins de Weekend</w:t>
            </w:r>
          </w:p>
        </w:tc>
      </w:tr>
      <w:tr w14:paraId="7D1AA512" w14:textId="77777777">
        <w:trPr>
          <w:cantSplit/>
        </w:trPr>
        <w:tc>
          <w:tcPr>
            <w:tcW w:w="1300" w:type="dxa"/>
            <w:tcMar>
              <w:top w:w="90" w:type="dxa"/>
              <w:left w:w="120" w:type="dxa"/>
              <w:bottom w:w="90" w:type="dxa"/>
              <w:right w:w="120" w:type="dxa"/>
            </w:tcMar>
            <w:vAlign w:val="center"/>
          </w:tcPr>
          <w:p w14:paraId="16CF0D28" w14:textId="77777777">
            <w:pPr>
              <w:keepNext/>
              <w:keepLines/>
              <w:spacing w:after="0" w:line="252" w:lineRule="auto"/>
              <w:jc w:val="right"/>
            </w:pPr>
            <w:r>
              <w:rPr>
                <w:sz w:val="17"/>
              </w:rPr>
              <w:t>0,001</w:t>
            </w:r>
          </w:p>
        </w:tc>
        <w:tc>
          <w:tcPr>
            <w:tcW w:w="1300" w:type="dxa"/>
            <w:tcMar>
              <w:top w:w="90" w:type="dxa"/>
              <w:left w:w="120" w:type="dxa"/>
              <w:bottom w:w="90" w:type="dxa"/>
              <w:right w:w="120" w:type="dxa"/>
            </w:tcMar>
            <w:vAlign w:val="center"/>
          </w:tcPr>
          <w:p w14:paraId="20386BE9" w14:textId="77777777">
            <w:pPr>
              <w:keepNext/>
              <w:keepLines/>
              <w:spacing w:after="0" w:line="252" w:lineRule="auto"/>
              <w:jc w:val="right"/>
            </w:pPr>
            <w:r>
              <w:rPr>
                <w:sz w:val="17"/>
              </w:rPr>
              <w:t>12</w:t>
            </w:r>
          </w:p>
        </w:tc>
        <w:tc>
          <w:tcPr>
            <w:tcW w:w="2500" w:type="dxa"/>
            <w:tcMar>
              <w:top w:w="90" w:type="dxa"/>
              <w:left w:w="120" w:type="dxa"/>
              <w:bottom w:w="90" w:type="dxa"/>
              <w:right w:w="120" w:type="dxa"/>
            </w:tcMar>
            <w:vAlign w:val="center"/>
          </w:tcPr>
          <w:p w14:paraId="2F907BD9" w14:textId="77777777">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54EC0222" w14:textId="77777777">
            <w:pPr>
              <w:keepNext/>
              <w:keepLines/>
              <w:spacing w:after="0" w:line="252" w:lineRule="auto"/>
              <w:jc w:val="left"/>
            </w:pPr>
            <w:r>
              <w:rPr>
                <w:sz w:val="17"/>
              </w:rPr>
              <w:t>JourSpecial; SourceTrafic</w:t>
            </w:r>
          </w:p>
        </w:tc>
      </w:tr>
      <w:tr w14:paraId="689B4EC1" w14:textId="77777777">
        <w:trPr>
          <w:cantSplit/>
        </w:trPr>
        <w:tc>
          <w:tcPr>
            <w:tcW w:w="1300" w:type="dxa"/>
            <w:shd w:val="clear" w:color="auto" w:fill="F7F7F7"/>
            <w:tcMar>
              <w:top w:w="90" w:type="dxa"/>
              <w:left w:w="120" w:type="dxa"/>
              <w:bottom w:w="90" w:type="dxa"/>
              <w:right w:w="120" w:type="dxa"/>
            </w:tcMar>
            <w:vAlign w:val="center"/>
          </w:tcPr>
          <w:p w14:paraId="023B91C3" w14:textId="77777777">
            <w:pPr>
              <w:keepNext/>
              <w:keepLines/>
              <w:spacing w:after="0" w:line="252" w:lineRule="auto"/>
              <w:jc w:val="right"/>
            </w:pPr>
            <w:r>
              <w:rPr>
                <w:sz w:val="17"/>
              </w:rPr>
              <w:t>0,010</w:t>
            </w:r>
          </w:p>
        </w:tc>
        <w:tc>
          <w:tcPr>
            <w:tcW w:w="1300" w:type="dxa"/>
            <w:shd w:val="clear" w:color="auto" w:fill="F7F7F7"/>
            <w:tcMar>
              <w:top w:w="90" w:type="dxa"/>
              <w:left w:w="120" w:type="dxa"/>
              <w:bottom w:w="90" w:type="dxa"/>
              <w:right w:w="120" w:type="dxa"/>
            </w:tcMar>
            <w:vAlign w:val="center"/>
          </w:tcPr>
          <w:p w14:paraId="4253A0CF" w14:textId="77777777">
            <w:pPr>
              <w:keepNext/>
              <w:keepLines/>
              <w:spacing w:after="0" w:line="252" w:lineRule="auto"/>
              <w:jc w:val="right"/>
            </w:pPr>
            <w:r>
              <w:rPr>
                <w:sz w:val="17"/>
              </w:rPr>
              <w:t>13</w:t>
            </w:r>
          </w:p>
        </w:tc>
        <w:tc>
          <w:tcPr>
            <w:tcW w:w="2500" w:type="dxa"/>
            <w:shd w:val="clear" w:color="auto" w:fill="F7F7F7"/>
            <w:tcMar>
              <w:top w:w="90" w:type="dxa"/>
              <w:left w:w="120" w:type="dxa"/>
              <w:bottom w:w="90" w:type="dxa"/>
              <w:right w:w="120" w:type="dxa"/>
            </w:tcMar>
            <w:vAlign w:val="center"/>
          </w:tcPr>
          <w:p w14:paraId="1D4CFD2B" w14:textId="77777777">
            <w:pPr>
              <w:keepNext/>
              <w:keepLines/>
              <w:spacing w:after="0" w:line="252" w:lineRule="auto"/>
              <w:jc w:val="left"/>
            </w:pPr>
            <w:r>
              <w:rPr>
                <w:sz w:val="17"/>
              </w:rPr>
              <w:t>Absente</w:t>
            </w:r>
          </w:p>
        </w:tc>
        <w:tc>
          <w:tcPr>
            <w:tcW w:w="4260" w:type="dxa"/>
            <w:shd w:val="clear" w:color="auto" w:fill="F7F7F7"/>
            <w:tcMar>
              <w:top w:w="90" w:type="dxa"/>
              <w:left w:w="120" w:type="dxa"/>
              <w:bottom w:w="90" w:type="dxa"/>
              <w:right w:w="120" w:type="dxa"/>
            </w:tcMar>
            <w:vAlign w:val="center"/>
          </w:tcPr>
          <w:p w14:paraId="2D992E8B" w14:textId="77777777">
            <w:pPr>
              <w:keepNext/>
              <w:keepLines/>
              <w:spacing w:after="0" w:line="252" w:lineRule="auto"/>
              <w:jc w:val="left"/>
            </w:pPr>
            <w:r>
              <w:rPr>
                <w:sz w:val="17"/>
              </w:rPr>
              <w:t>JourSpecial; NouveauVisiteur; SourceTrafic</w:t>
            </w:r>
          </w:p>
        </w:tc>
      </w:tr>
      <w:tr w14:paraId="684FBB91" w14:textId="77777777">
        <w:trPr>
          <w:cantSplit/>
        </w:trPr>
        <w:tc>
          <w:tcPr>
            <w:tcW w:w="1300" w:type="dxa"/>
            <w:tcMar>
              <w:top w:w="90" w:type="dxa"/>
              <w:left w:w="120" w:type="dxa"/>
              <w:bottom w:w="90" w:type="dxa"/>
              <w:right w:w="120" w:type="dxa"/>
            </w:tcMar>
            <w:vAlign w:val="center"/>
          </w:tcPr>
          <w:p w14:paraId="29292E29" w14:textId="77777777">
            <w:pPr>
              <w:keepNext/>
              <w:keepLines/>
              <w:spacing w:after="0" w:line="252" w:lineRule="auto"/>
              <w:jc w:val="right"/>
            </w:pPr>
            <w:r>
              <w:rPr>
                <w:sz w:val="17"/>
              </w:rPr>
              <w:t>0,050</w:t>
            </w:r>
          </w:p>
        </w:tc>
        <w:tc>
          <w:tcPr>
            <w:tcW w:w="1300" w:type="dxa"/>
            <w:tcMar>
              <w:top w:w="90" w:type="dxa"/>
              <w:left w:w="120" w:type="dxa"/>
              <w:bottom w:w="90" w:type="dxa"/>
              <w:right w:w="120" w:type="dxa"/>
            </w:tcMar>
            <w:vAlign w:val="center"/>
          </w:tcPr>
          <w:p w14:paraId="2BDCB1E3" w14:textId="77777777">
            <w:pPr>
              <w:keepNext/>
              <w:keepLines/>
              <w:spacing w:after="0" w:line="252" w:lineRule="auto"/>
              <w:jc w:val="right"/>
            </w:pPr>
            <w:r>
              <w:rPr>
                <w:sz w:val="17"/>
              </w:rPr>
              <w:t>13</w:t>
            </w:r>
          </w:p>
        </w:tc>
        <w:tc>
          <w:tcPr>
            <w:tcW w:w="2500" w:type="dxa"/>
            <w:tcMar>
              <w:top w:w="90" w:type="dxa"/>
              <w:left w:w="120" w:type="dxa"/>
              <w:bottom w:w="90" w:type="dxa"/>
              <w:right w:w="120" w:type="dxa"/>
            </w:tcMar>
            <w:vAlign w:val="center"/>
          </w:tcPr>
          <w:p w14:paraId="4CA126E2" w14:textId="77777777">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5D5D88A3" w14:textId="77777777">
            <w:pPr>
              <w:keepNext/>
              <w:keepLines/>
              <w:spacing w:after="0" w:line="252" w:lineRule="auto"/>
              <w:jc w:val="left"/>
            </w:pPr>
            <w:r>
              <w:rPr>
                <w:sz w:val="17"/>
              </w:rPr>
              <w:t>JourSpecial; NouveauVisiteur; SourceTrafic</w:t>
            </w:r>
          </w:p>
        </w:tc>
      </w:tr>
    </w:tbl>
    <w:p w14:paraId="55DB8829" w14:textId="77777777">
      <w:pPr>
        <w:pStyle w:val="Source"/>
      </w:pPr>
      <w:r>
        <w:t>Source : répétition de FCI aux seuils 0,1 %, 1 % et 5 %.</w:t>
      </w:r>
    </w:p>
    <w:p w14:paraId="6203689B" w14:textId="77777777">
      <w:pPr>
        <w:pStyle w:val="Heading2"/>
      </w:pPr>
      <w:r>
        <w:t>4.3 Interprétation du PAG</w:t>
      </w:r>
    </w:p>
    <w:p w14:paraId="37D0E8BD" w14:textId="77777777">
      <w:r>
        <w:t>Aucune adjacence Weekend-Revenue n'apparaît aux trois seuils. Ce résultat indique qu'une indépendance conditionnelle compatible avec l'absence d'adjacence a été détectée dans cette représentation simplifiée. Il ne démontre ni un ATE nul, ni l'absence d'un effet indirect, ni l'absence de biais. Un effet faible, une discrétisation grossière, une erreur de mesure ou une violation de fidélité peuvent aussi faire disparaître une arête.</w:t>
      </w:r>
    </w:p>
    <w:p w14:paraId="647D59BF" w14:textId="77777777">
      <w:r>
        <w:t>L'arête partiellement orientée Weekend o→ SourceTrafic met en évidence l'ambiguïté de TrafficType. Le PAG motive donc l'analyse sans cette variable, mais ne choisit pas lui-même l'ensemble d'ajustement. Le DAG de domaine demeure l'objet utilisé pour l'identification.</w:t>
      </w:r>
    </w:p>
    <w:p w14:paraId="37E8F258" w14:textId="77777777">
      <w:pPr>
        <w:pStyle w:val="Heading1"/>
      </w:pPr>
      <w:bookmarkStart w:id="4" w:name="_Toc235024100"/>
      <w:r>
        <w:t>5. Cadre causal et stratégie d'identification</w:t>
      </w:r>
      <w:bookmarkEnd w:id="4"/>
    </w:p>
    <w:p w14:paraId="7EA5DA67" w14:textId="77777777">
      <w:pPr>
        <w:pStyle w:val="Heading2"/>
      </w:pPr>
      <w:r>
        <w:t>5.1 Pourquoi combiner Pearl et Rubin ?</w:t>
      </w:r>
    </w:p>
    <w:p w14:paraId="3BB8A9B7" w14:textId="77777777">
      <w:r>
        <w:t>Le cadre de Rubin fournit les résultats potentiels Y(1) et Y(0), définit l'effet moyen et clarifie les hypothèses d'échangeabilité, de consistance et de positivité [4]. Le cadre de Pearl représente les mécanismes par un DAG et formalise l'intervention do(T=t) ainsi que le critère de porte arrière [3]. La combinaison convient à une exposition et à un résultat binaires, avec une question portant sur un effet total moyen dans une population définie.</w:t>
      </w:r>
    </w:p>
    <w:p w14:paraId="3653948B" w14:textId="77777777">
      <w:pPr>
        <w:pStyle w:val="Heading2"/>
      </w:pPr>
      <w:r>
        <w:t>5.2 Résultats potentiels et estimand</w:t>
      </w:r>
    </w:p>
    <w:p w14:paraId="3F7661C7" w14:textId="77777777">
      <w:r>
        <w:t>Pour la session i, Yᵢ(1) représente la transaction potentielle si la session avait lieu le weekend, et Yᵢ(0) la transaction potentielle si elle avait lieu en semaine. Un seul résultat est observé. L'estimand principal est l'ATE dans la population restreinte, ni un ATT, ni un CATE, ni un effet individuel :</w:t>
      </w:r>
    </w:p>
    <w:p w14:paraId="3B91DB7F" w14:textId="77777777">
      <w:pPr>
        <w:pStyle w:val="Equation"/>
      </w:pPr>
      <w:r>
        <w:t>τ₀ = E[Y(1) − Y(0) | SpecialDay = 0]</w:t>
      </w:r>
    </w:p>
    <w:p w14:paraId="659E668F" w14:textId="77777777">
      <w:r>
        <w:t>Puisque Y est binaire, τ₀ est une différence moyenne de probabilités. Une valeur de 0,015 correspond à 1,5 point de pourcentage, et non à 1,5 % de croissance relative.</w:t>
      </w:r>
    </w:p>
    <w:p w14:paraId="08D16A79" w14:textId="77777777">
      <w:pPr>
        <w:pStyle w:val="Heading2"/>
      </w:pPr>
      <w:r>
        <w:t>5.3 Hypothèses</w:t>
      </w:r>
    </w:p>
    <w:p w14:paraId="64EE545C" w14:textId="77777777">
      <w:pPr>
        <w:pStyle w:val="ListParagraph"/>
        <w:keepLines/>
        <w:numPr>
          <w:ilvl w:val="0"/>
          <w:numId w:val="11"/>
        </w:numPr>
        <w:jc w:val="left"/>
      </w:pPr>
      <w:r>
        <w:rPr>
          <w:b/>
        </w:rPr>
        <w:t xml:space="preserve">Consistance : </w:t>
      </w:r>
      <w:r>
        <w:t>le résultat observé correspond au résultat potentiel associé à l'exposition effectivement reçue, soit Y = Y(T).</w:t>
      </w:r>
    </w:p>
    <w:p w14:paraId="2627344D" w14:textId="77777777">
      <w:pPr>
        <w:pStyle w:val="ListParagraph"/>
        <w:keepLines/>
        <w:numPr>
          <w:ilvl w:val="0"/>
          <w:numId w:val="11"/>
        </w:numPr>
        <w:jc w:val="left"/>
      </w:pPr>
      <w:r>
        <w:rPr>
          <w:b/>
        </w:rPr>
        <w:lastRenderedPageBreak/>
        <w:t xml:space="preserve">Échangeabilité conditionnelle : </w:t>
      </w:r>
      <w:r>
        <w:t>après ajustement sur Z dans la population SpecialDay=0, aucune cause commune non mesurée de T et Y ne doit subsister.</w:t>
      </w:r>
    </w:p>
    <w:p w14:paraId="490E3082" w14:textId="77777777">
      <w:pPr>
        <w:pStyle w:val="ListParagraph"/>
        <w:keepLines/>
        <w:numPr>
          <w:ilvl w:val="0"/>
          <w:numId w:val="11"/>
        </w:numPr>
        <w:jc w:val="left"/>
      </w:pPr>
      <w:r>
        <w:rPr>
          <w:b/>
        </w:rPr>
        <w:t xml:space="preserve">Positivité : </w:t>
      </w:r>
      <w:r>
        <w:t>pour presque toute valeur z présente dans la population cible, 0 &lt; P(T=1 | Z=z, SpecialDay=0) &lt; 1.</w:t>
      </w:r>
    </w:p>
    <w:p w14:paraId="4067D074" w14:textId="77777777">
      <w:pPr>
        <w:pStyle w:val="ListParagraph"/>
        <w:keepLines/>
        <w:numPr>
          <w:ilvl w:val="0"/>
          <w:numId w:val="11"/>
        </w:numPr>
        <w:jc w:val="left"/>
      </w:pPr>
      <w:r>
        <w:rPr>
          <w:b/>
        </w:rPr>
        <w:t xml:space="preserve">Absence d'interférence : </w:t>
      </w:r>
      <w:r>
        <w:t>le résultat potentiel d'une session ne doit pas dépendre du statut Weekend d'une autre session.</w:t>
      </w:r>
    </w:p>
    <w:p w14:paraId="69B4DB30" w14:textId="77777777">
      <w:pPr>
        <w:pStyle w:val="ListParagraph"/>
        <w:keepLines/>
        <w:numPr>
          <w:ilvl w:val="0"/>
          <w:numId w:val="11"/>
        </w:numPr>
        <w:jc w:val="left"/>
      </w:pPr>
      <w:r>
        <w:rPr>
          <w:b/>
        </w:rPr>
        <w:t xml:space="preserve">Mesure et temporalité : </w:t>
      </w:r>
      <w:r>
        <w:t>les covariables d'ajustement doivent être mesurées sans erreur déterminante et avant l'exposition selon le mécanisme supposé.</w:t>
      </w:r>
    </w:p>
    <w:p w14:paraId="5A49B39A" w14:textId="77777777">
      <w:pPr>
        <w:pStyle w:val="Equation"/>
        <w:spacing w:after="80"/>
      </w:pPr>
      <w:r>
        <w:t xml:space="preserve">(Y(1), Y(0)) </w:t>
      </w:r>
      <w:r>
        <w:t>⟂</w:t>
      </w:r>
      <w:r>
        <w:t xml:space="preserve"> T | Z, SpecialDay = 0</w:t>
      </w:r>
    </w:p>
    <w:p w14:paraId="587BFBC0" w14:textId="77777777">
      <w:pPr>
        <w:pStyle w:val="Equation"/>
      </w:pPr>
      <w:r>
        <w:t>0 &lt; P(T = 1 | Z, SpecialDay = 0) &lt; 1</w:t>
      </w:r>
    </w:p>
    <w:p w14:paraId="2775E8AA" w14:textId="77777777">
      <w:r>
        <w:t>La consistance est délicate parce que Weekend résume plusieurs versions possibles de l'exposition : samedi ou dimanche, heure, promotions et expérience du site. L'échangeabilité est l'hypothèse la plus fragile, car les prix, les produits consultés, les campagnes et l'intention préalable sont absents. La restriction à SpecialDay=0 rend la positivité plus plausible, et les diagnostics de score de propension l'évaluent empiriquement.</w:t>
      </w:r>
    </w:p>
    <w:p w14:paraId="716B9B85" w14:textId="77777777">
      <w:pPr>
        <w:pStyle w:val="Heading2"/>
      </w:pPr>
      <w:r>
        <w:t>5.4 Formule d'identification</w:t>
      </w:r>
    </w:p>
    <w:p w14:paraId="483A2E62" w14:textId="77777777">
      <w:r>
        <w:t>Si Z suffit à bloquer les chemins de porte arrière et si les hypothèses précédentes sont valides, l'effet est identifié par standardisation sur la distribution de Z dans la population restreinte. En posant mₜ(z) = E[Y | T=t, Z=z, SpecialDay=0] :</w:t>
      </w:r>
    </w:p>
    <w:p w14:paraId="7B12432F" w14:textId="77777777">
      <w:pPr>
        <w:pStyle w:val="Equation"/>
      </w:pPr>
      <w:r>
        <w:t>τ₀ = E[m₁(Z) − m₀(Z) | SpecialDay = 0]</w:t>
      </w:r>
    </w:p>
    <w:p w14:paraId="06A85D43" w14:textId="77777777">
      <w:pPr>
        <w:pStyle w:val="Equation"/>
      </w:pPr>
      <w:r>
        <w:t>P(Y=1 | do(T=t), SpecialDay=0)</w:t>
      </w:r>
    </w:p>
    <w:p w14:paraId="040E7822" w14:textId="77777777">
      <w:pPr>
        <w:pStyle w:val="Equation"/>
      </w:pPr>
      <w:r>
        <w:t>= Σ_z P(Y=1 | T=t, Z=z, SpecialDay=0) P(Z=z | SpecialDay=0)</w:t>
      </w:r>
    </w:p>
    <w:p w14:paraId="3A236AF2" w14:textId="77777777">
      <w:r>
        <w:t>Cette identification est conditionnelle, pas démontrée par les données. Si une cause latente reliant Weekend et Revenue demeure active après ajustement, aucun ensemble de covariables pré-exposition entièrement observé dans cette base ne ferme le chemin correspondant. Les estimations qui suivent quantifient donc l'effet sous l'hypothèse d'absence de confusion résiduelle; l'E-value évalue ensuite la fragilité de cette hypothèse sur l'échelle des rapports de risques.</w:t>
      </w:r>
    </w:p>
    <w:p w14:paraId="7BCAA166" w14:textId="77777777">
      <w:pPr>
        <w:pStyle w:val="Heading1"/>
      </w:pPr>
      <w:bookmarkStart w:id="5" w:name="_Toc235024101"/>
      <w:r>
        <w:t>6. Estimation et diagnostics</w:t>
      </w:r>
      <w:bookmarkEnd w:id="5"/>
    </w:p>
    <w:p w14:paraId="279EBDF1" w14:textId="77777777">
      <w:pPr>
        <w:pStyle w:val="Heading2"/>
      </w:pPr>
      <w:r>
        <w:t>6.1 Modèles de nuisance et prédictions croisées</w:t>
      </w:r>
    </w:p>
    <w:p w14:paraId="0FE99202" w14:textId="77777777">
      <w:r>
        <w:t>Le traitement et le résultat étant binaires, les modèles principaux sont des régressions logistiques. Elles produisent directement des probabilités estimées et restent interprétables pour un échantillon de plus de onze mille observations. Les covariables catégorielles sont encodées en indicatrices; les modalités comptant moins de 20 observations sont regroupées par l'encodeur afin d'éviter des coefficients estimés sur des cellules presque vides.</w:t>
      </w:r>
    </w:p>
    <w:p w14:paraId="0E9306D5" w14:textId="77777777">
      <w:r>
        <w:lastRenderedPageBreak/>
        <w:t>Le score e(z)=P(T=1 | Z=z, SpecialDay=0) et les régressions de résultat m₁(Z), m₀(Z) sont estimés par validation croisée en cinq plis. La stratification conserve les quatre combinaisons de T et Y. Chaque observation reçoit des prédictions provenant de modèles qui ne l'ont pas utilisée pour l'entraînement, ce qui limite le surajustement. Les scores sont bornés numériquement dans [0,01 ; 0,99] pour éviter une division instable; la distribution observée reste ensuite auditée.</w:t>
      </w:r>
    </w:p>
    <w:p w14:paraId="3979E462" w14:textId="77777777">
      <w:pPr>
        <w:pStyle w:val="TableCaption"/>
      </w:pPr>
      <w:r>
        <w:t>Tableau 7. Estimateurs comparés et calcul de l'incertitude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600"/>
        <w:gridCol w:w="3100"/>
        <w:gridCol w:w="2860"/>
        <w:gridCol w:w="1800"/>
      </w:tblGrid>
      <w:tr w14:paraId="2AD78060" w14:textId="77777777">
        <w:trPr>
          <w:cantSplit/>
          <w:tblHeader/>
        </w:trPr>
        <w:tc>
          <w:tcPr>
            <w:tcW w:w="1600" w:type="dxa"/>
            <w:shd w:val="clear" w:color="auto" w:fill="E7E6E6"/>
            <w:tcMar>
              <w:top w:w="90" w:type="dxa"/>
              <w:left w:w="120" w:type="dxa"/>
              <w:bottom w:w="90" w:type="dxa"/>
              <w:right w:w="120" w:type="dxa"/>
            </w:tcMar>
            <w:vAlign w:val="center"/>
          </w:tcPr>
          <w:p w14:paraId="143B56A0" w14:textId="77777777">
            <w:pPr>
              <w:keepNext/>
              <w:keepLines/>
              <w:spacing w:after="0" w:line="252" w:lineRule="auto"/>
              <w:jc w:val="left"/>
            </w:pPr>
            <w:r>
              <w:rPr>
                <w:b/>
                <w:sz w:val="17"/>
              </w:rPr>
              <w:t>Méthode</w:t>
            </w:r>
          </w:p>
        </w:tc>
        <w:tc>
          <w:tcPr>
            <w:tcW w:w="3100" w:type="dxa"/>
            <w:shd w:val="clear" w:color="auto" w:fill="E7E6E6"/>
            <w:tcMar>
              <w:top w:w="90" w:type="dxa"/>
              <w:left w:w="120" w:type="dxa"/>
              <w:bottom w:w="90" w:type="dxa"/>
              <w:right w:w="120" w:type="dxa"/>
            </w:tcMar>
            <w:vAlign w:val="center"/>
          </w:tcPr>
          <w:p w14:paraId="4376F57E" w14:textId="77777777">
            <w:pPr>
              <w:keepNext/>
              <w:keepLines/>
              <w:spacing w:after="0" w:line="252" w:lineRule="auto"/>
              <w:jc w:val="left"/>
            </w:pPr>
            <w:r>
              <w:rPr>
                <w:b/>
                <w:sz w:val="17"/>
              </w:rPr>
              <w:t>Principe</w:t>
            </w:r>
          </w:p>
        </w:tc>
        <w:tc>
          <w:tcPr>
            <w:tcW w:w="2860" w:type="dxa"/>
            <w:shd w:val="clear" w:color="auto" w:fill="E7E6E6"/>
            <w:tcMar>
              <w:top w:w="90" w:type="dxa"/>
              <w:left w:w="120" w:type="dxa"/>
              <w:bottom w:w="90" w:type="dxa"/>
              <w:right w:w="120" w:type="dxa"/>
            </w:tcMar>
            <w:vAlign w:val="center"/>
          </w:tcPr>
          <w:p w14:paraId="45B4B38C" w14:textId="77777777">
            <w:pPr>
              <w:keepNext/>
              <w:keepLines/>
              <w:spacing w:after="0" w:line="252" w:lineRule="auto"/>
              <w:jc w:val="left"/>
            </w:pPr>
            <w:r>
              <w:rPr>
                <w:b/>
                <w:sz w:val="17"/>
              </w:rPr>
              <w:t>Rôle</w:t>
            </w:r>
          </w:p>
        </w:tc>
        <w:tc>
          <w:tcPr>
            <w:tcW w:w="1800" w:type="dxa"/>
            <w:shd w:val="clear" w:color="auto" w:fill="E7E6E6"/>
            <w:tcMar>
              <w:top w:w="90" w:type="dxa"/>
              <w:left w:w="120" w:type="dxa"/>
              <w:bottom w:w="90" w:type="dxa"/>
              <w:right w:w="120" w:type="dxa"/>
            </w:tcMar>
            <w:vAlign w:val="center"/>
          </w:tcPr>
          <w:p w14:paraId="4058D45B" w14:textId="77777777">
            <w:pPr>
              <w:keepNext/>
              <w:keepLines/>
              <w:spacing w:after="0" w:line="252" w:lineRule="auto"/>
              <w:jc w:val="left"/>
            </w:pPr>
            <w:r>
              <w:rPr>
                <w:b/>
                <w:sz w:val="17"/>
              </w:rPr>
              <w:t>IC à 95 %</w:t>
            </w:r>
          </w:p>
        </w:tc>
      </w:tr>
      <w:tr w14:paraId="510F5D97" w14:textId="77777777">
        <w:trPr>
          <w:cantSplit/>
        </w:trPr>
        <w:tc>
          <w:tcPr>
            <w:tcW w:w="1600" w:type="dxa"/>
            <w:tcMar>
              <w:top w:w="90" w:type="dxa"/>
              <w:left w:w="120" w:type="dxa"/>
              <w:bottom w:w="90" w:type="dxa"/>
              <w:right w:w="120" w:type="dxa"/>
            </w:tcMar>
            <w:vAlign w:val="center"/>
          </w:tcPr>
          <w:p w14:paraId="2864AA22" w14:textId="77777777">
            <w:pPr>
              <w:keepNext/>
              <w:keepLines/>
              <w:spacing w:after="0" w:line="252" w:lineRule="auto"/>
              <w:jc w:val="left"/>
            </w:pPr>
            <w:r>
              <w:rPr>
                <w:sz w:val="17"/>
              </w:rPr>
              <w:t>Brute</w:t>
            </w:r>
          </w:p>
        </w:tc>
        <w:tc>
          <w:tcPr>
            <w:tcW w:w="3100" w:type="dxa"/>
            <w:tcMar>
              <w:top w:w="90" w:type="dxa"/>
              <w:left w:w="120" w:type="dxa"/>
              <w:bottom w:w="90" w:type="dxa"/>
              <w:right w:w="120" w:type="dxa"/>
            </w:tcMar>
            <w:vAlign w:val="center"/>
          </w:tcPr>
          <w:p w14:paraId="38DFAA3A" w14:textId="77777777">
            <w:pPr>
              <w:keepNext/>
              <w:keepLines/>
              <w:spacing w:after="0" w:line="252" w:lineRule="auto"/>
              <w:jc w:val="left"/>
            </w:pPr>
            <w:r>
              <w:rPr>
                <w:sz w:val="17"/>
              </w:rPr>
              <w:t>Différence directe des taux observés</w:t>
            </w:r>
          </w:p>
        </w:tc>
        <w:tc>
          <w:tcPr>
            <w:tcW w:w="2860" w:type="dxa"/>
            <w:tcMar>
              <w:top w:w="90" w:type="dxa"/>
              <w:left w:w="120" w:type="dxa"/>
              <w:bottom w:w="90" w:type="dxa"/>
              <w:right w:w="120" w:type="dxa"/>
            </w:tcMar>
            <w:vAlign w:val="center"/>
          </w:tcPr>
          <w:p w14:paraId="77923EAB" w14:textId="77777777">
            <w:pPr>
              <w:keepNext/>
              <w:keepLines/>
              <w:spacing w:after="0" w:line="252" w:lineRule="auto"/>
              <w:jc w:val="left"/>
            </w:pPr>
            <w:r>
              <w:rPr>
                <w:sz w:val="17"/>
              </w:rPr>
              <w:t>Référence descriptive, non causale</w:t>
            </w:r>
          </w:p>
        </w:tc>
        <w:tc>
          <w:tcPr>
            <w:tcW w:w="1800" w:type="dxa"/>
            <w:tcMar>
              <w:top w:w="90" w:type="dxa"/>
              <w:left w:w="120" w:type="dxa"/>
              <w:bottom w:w="90" w:type="dxa"/>
              <w:right w:w="120" w:type="dxa"/>
            </w:tcMar>
            <w:vAlign w:val="center"/>
          </w:tcPr>
          <w:p w14:paraId="407B30E3" w14:textId="77777777">
            <w:pPr>
              <w:keepNext/>
              <w:keepLines/>
              <w:spacing w:after="0" w:line="252" w:lineRule="auto"/>
              <w:jc w:val="left"/>
            </w:pPr>
            <w:r>
              <w:rPr>
                <w:sz w:val="17"/>
              </w:rPr>
              <w:t>Approximation normale</w:t>
            </w:r>
          </w:p>
        </w:tc>
      </w:tr>
      <w:tr w14:paraId="5E8A0C21" w14:textId="77777777">
        <w:trPr>
          <w:cantSplit/>
        </w:trPr>
        <w:tc>
          <w:tcPr>
            <w:tcW w:w="1600" w:type="dxa"/>
            <w:shd w:val="clear" w:color="auto" w:fill="F7F7F7"/>
            <w:tcMar>
              <w:top w:w="90" w:type="dxa"/>
              <w:left w:w="120" w:type="dxa"/>
              <w:bottom w:w="90" w:type="dxa"/>
              <w:right w:w="120" w:type="dxa"/>
            </w:tcMar>
            <w:vAlign w:val="center"/>
          </w:tcPr>
          <w:p w14:paraId="55863DA0" w14:textId="77777777">
            <w:pPr>
              <w:keepNext/>
              <w:keepLines/>
              <w:spacing w:after="0" w:line="252" w:lineRule="auto"/>
              <w:jc w:val="left"/>
            </w:pPr>
            <w:r>
              <w:rPr>
                <w:sz w:val="17"/>
              </w:rPr>
              <w:t>Standardisation</w:t>
            </w:r>
          </w:p>
        </w:tc>
        <w:tc>
          <w:tcPr>
            <w:tcW w:w="3100" w:type="dxa"/>
            <w:shd w:val="clear" w:color="auto" w:fill="F7F7F7"/>
            <w:tcMar>
              <w:top w:w="90" w:type="dxa"/>
              <w:left w:w="120" w:type="dxa"/>
              <w:bottom w:w="90" w:type="dxa"/>
              <w:right w:w="120" w:type="dxa"/>
            </w:tcMar>
            <w:vAlign w:val="center"/>
          </w:tcPr>
          <w:p w14:paraId="19F6FFD0" w14:textId="77777777">
            <w:pPr>
              <w:keepNext/>
              <w:keepLines/>
              <w:spacing w:after="0" w:line="252" w:lineRule="auto"/>
              <w:jc w:val="left"/>
            </w:pPr>
            <w:r>
              <w:rPr>
                <w:sz w:val="17"/>
              </w:rPr>
              <w:t>Moyenne des prédictions sous T=1 et T=0</w:t>
            </w:r>
          </w:p>
        </w:tc>
        <w:tc>
          <w:tcPr>
            <w:tcW w:w="2860" w:type="dxa"/>
            <w:shd w:val="clear" w:color="auto" w:fill="F7F7F7"/>
            <w:tcMar>
              <w:top w:w="90" w:type="dxa"/>
              <w:left w:w="120" w:type="dxa"/>
              <w:bottom w:w="90" w:type="dxa"/>
              <w:right w:w="120" w:type="dxa"/>
            </w:tcMar>
            <w:vAlign w:val="center"/>
          </w:tcPr>
          <w:p w14:paraId="33C09C7D" w14:textId="77777777">
            <w:pPr>
              <w:keepNext/>
              <w:keepLines/>
              <w:spacing w:after="0" w:line="252" w:lineRule="auto"/>
              <w:jc w:val="left"/>
            </w:pPr>
            <w:r>
              <w:rPr>
                <w:sz w:val="17"/>
              </w:rPr>
              <w:t>Lisible et adaptée à un résultat binaire</w:t>
            </w:r>
          </w:p>
        </w:tc>
        <w:tc>
          <w:tcPr>
            <w:tcW w:w="1800" w:type="dxa"/>
            <w:shd w:val="clear" w:color="auto" w:fill="F7F7F7"/>
            <w:tcMar>
              <w:top w:w="90" w:type="dxa"/>
              <w:left w:w="120" w:type="dxa"/>
              <w:bottom w:w="90" w:type="dxa"/>
              <w:right w:w="120" w:type="dxa"/>
            </w:tcMar>
            <w:vAlign w:val="center"/>
          </w:tcPr>
          <w:p w14:paraId="7F403DA6" w14:textId="77777777">
            <w:pPr>
              <w:keepNext/>
              <w:keepLines/>
              <w:spacing w:after="0" w:line="252" w:lineRule="auto"/>
              <w:jc w:val="left"/>
            </w:pPr>
            <w:r>
              <w:rPr>
                <w:sz w:val="17"/>
              </w:rPr>
              <w:t>Bootstrap percentile, 500 réplications</w:t>
            </w:r>
          </w:p>
        </w:tc>
      </w:tr>
      <w:tr w14:paraId="0A47E29B" w14:textId="77777777">
        <w:trPr>
          <w:cantSplit/>
        </w:trPr>
        <w:tc>
          <w:tcPr>
            <w:tcW w:w="1600" w:type="dxa"/>
            <w:tcMar>
              <w:top w:w="90" w:type="dxa"/>
              <w:left w:w="120" w:type="dxa"/>
              <w:bottom w:w="90" w:type="dxa"/>
              <w:right w:w="120" w:type="dxa"/>
            </w:tcMar>
            <w:vAlign w:val="center"/>
          </w:tcPr>
          <w:p w14:paraId="71002D85" w14:textId="77777777">
            <w:pPr>
              <w:keepNext/>
              <w:keepLines/>
              <w:spacing w:after="0" w:line="252" w:lineRule="auto"/>
              <w:jc w:val="left"/>
            </w:pPr>
            <w:r>
              <w:rPr>
                <w:sz w:val="17"/>
              </w:rPr>
              <w:t>IPW de Hájek</w:t>
            </w:r>
          </w:p>
        </w:tc>
        <w:tc>
          <w:tcPr>
            <w:tcW w:w="3100" w:type="dxa"/>
            <w:tcMar>
              <w:top w:w="90" w:type="dxa"/>
              <w:left w:w="120" w:type="dxa"/>
              <w:bottom w:w="90" w:type="dxa"/>
              <w:right w:w="120" w:type="dxa"/>
            </w:tcMar>
            <w:vAlign w:val="center"/>
          </w:tcPr>
          <w:p w14:paraId="2EDF37DC" w14:textId="77777777">
            <w:pPr>
              <w:keepNext/>
              <w:keepLines/>
              <w:spacing w:after="0" w:line="252" w:lineRule="auto"/>
              <w:jc w:val="left"/>
            </w:pPr>
            <w:r>
              <w:rPr>
                <w:sz w:val="17"/>
              </w:rPr>
              <w:t>Moyennes pondérées normalisées par le score</w:t>
            </w:r>
          </w:p>
        </w:tc>
        <w:tc>
          <w:tcPr>
            <w:tcW w:w="2860" w:type="dxa"/>
            <w:tcMar>
              <w:top w:w="90" w:type="dxa"/>
              <w:left w:w="120" w:type="dxa"/>
              <w:bottom w:w="90" w:type="dxa"/>
              <w:right w:w="120" w:type="dxa"/>
            </w:tcMar>
            <w:vAlign w:val="center"/>
          </w:tcPr>
          <w:p w14:paraId="446EC62B" w14:textId="77777777">
            <w:pPr>
              <w:keepNext/>
              <w:keepLines/>
              <w:spacing w:after="0" w:line="252" w:lineRule="auto"/>
              <w:jc w:val="left"/>
            </w:pPr>
            <w:r>
              <w:rPr>
                <w:sz w:val="17"/>
              </w:rPr>
              <w:t>Estime le même estimand par repondération de la distribution mesurée de Z</w:t>
            </w:r>
          </w:p>
        </w:tc>
        <w:tc>
          <w:tcPr>
            <w:tcW w:w="1800" w:type="dxa"/>
            <w:tcMar>
              <w:top w:w="90" w:type="dxa"/>
              <w:left w:w="120" w:type="dxa"/>
              <w:bottom w:w="90" w:type="dxa"/>
              <w:right w:w="120" w:type="dxa"/>
            </w:tcMar>
            <w:vAlign w:val="center"/>
          </w:tcPr>
          <w:p w14:paraId="68B531E4" w14:textId="77777777">
            <w:pPr>
              <w:keepNext/>
              <w:keepLines/>
              <w:spacing w:after="0" w:line="252" w:lineRule="auto"/>
              <w:jc w:val="left"/>
            </w:pPr>
            <w:r>
              <w:rPr>
                <w:sz w:val="17"/>
              </w:rPr>
              <w:t>Fonction d'influence</w:t>
            </w:r>
          </w:p>
        </w:tc>
      </w:tr>
      <w:tr w14:paraId="7AC62D76" w14:textId="77777777">
        <w:trPr>
          <w:cantSplit/>
        </w:trPr>
        <w:tc>
          <w:tcPr>
            <w:tcW w:w="1600" w:type="dxa"/>
            <w:shd w:val="clear" w:color="auto" w:fill="F7F7F7"/>
            <w:tcMar>
              <w:top w:w="90" w:type="dxa"/>
              <w:left w:w="120" w:type="dxa"/>
              <w:bottom w:w="90" w:type="dxa"/>
              <w:right w:w="120" w:type="dxa"/>
            </w:tcMar>
            <w:vAlign w:val="center"/>
          </w:tcPr>
          <w:p w14:paraId="02CD0192" w14:textId="77777777">
            <w:pPr>
              <w:keepNext/>
              <w:keepLines/>
              <w:spacing w:after="0" w:line="252" w:lineRule="auto"/>
              <w:jc w:val="left"/>
            </w:pPr>
            <w:r>
              <w:rPr>
                <w:sz w:val="17"/>
              </w:rPr>
              <w:t>AIPW</w:t>
            </w:r>
          </w:p>
        </w:tc>
        <w:tc>
          <w:tcPr>
            <w:tcW w:w="3100" w:type="dxa"/>
            <w:shd w:val="clear" w:color="auto" w:fill="F7F7F7"/>
            <w:tcMar>
              <w:top w:w="90" w:type="dxa"/>
              <w:left w:w="120" w:type="dxa"/>
              <w:bottom w:w="90" w:type="dxa"/>
              <w:right w:w="120" w:type="dxa"/>
            </w:tcMar>
            <w:vAlign w:val="center"/>
          </w:tcPr>
          <w:p w14:paraId="0DC1E66E" w14:textId="77777777">
            <w:pPr>
              <w:keepNext/>
              <w:keepLines/>
              <w:spacing w:after="0" w:line="252" w:lineRule="auto"/>
              <w:jc w:val="left"/>
            </w:pPr>
            <w:r>
              <w:rPr>
                <w:sz w:val="17"/>
              </w:rPr>
              <w:t>Régression du résultat + score de propension</w:t>
            </w:r>
          </w:p>
        </w:tc>
        <w:tc>
          <w:tcPr>
            <w:tcW w:w="2860" w:type="dxa"/>
            <w:shd w:val="clear" w:color="auto" w:fill="F7F7F7"/>
            <w:tcMar>
              <w:top w:w="90" w:type="dxa"/>
              <w:left w:w="120" w:type="dxa"/>
              <w:bottom w:w="90" w:type="dxa"/>
              <w:right w:w="120" w:type="dxa"/>
            </w:tcMar>
            <w:vAlign w:val="center"/>
          </w:tcPr>
          <w:p w14:paraId="62B1B9C4" w14:textId="77777777">
            <w:pPr>
              <w:keepNext/>
              <w:keepLines/>
              <w:spacing w:after="0" w:line="252" w:lineRule="auto"/>
              <w:jc w:val="left"/>
            </w:pPr>
            <w:r>
              <w:rPr>
                <w:sz w:val="17"/>
              </w:rPr>
              <w:t>Estimateur principal doublement robuste</w:t>
            </w:r>
          </w:p>
        </w:tc>
        <w:tc>
          <w:tcPr>
            <w:tcW w:w="1800" w:type="dxa"/>
            <w:shd w:val="clear" w:color="auto" w:fill="F7F7F7"/>
            <w:tcMar>
              <w:top w:w="90" w:type="dxa"/>
              <w:left w:w="120" w:type="dxa"/>
              <w:bottom w:w="90" w:type="dxa"/>
              <w:right w:w="120" w:type="dxa"/>
            </w:tcMar>
            <w:vAlign w:val="center"/>
          </w:tcPr>
          <w:p w14:paraId="573080B3" w14:textId="77777777">
            <w:pPr>
              <w:keepNext/>
              <w:keepLines/>
              <w:spacing w:after="0" w:line="252" w:lineRule="auto"/>
              <w:jc w:val="left"/>
            </w:pPr>
            <w:r>
              <w:rPr>
                <w:sz w:val="17"/>
              </w:rPr>
              <w:t>Fonction d'influence</w:t>
            </w:r>
          </w:p>
        </w:tc>
      </w:tr>
    </w:tbl>
    <w:p w14:paraId="1FCB114A" w14:textId="77777777">
      <w:pPr>
        <w:pStyle w:val="Source"/>
      </w:pPr>
      <w:r>
        <w:t>Source : implémentation du notebook final.</w:t>
      </w:r>
    </w:p>
    <w:p w14:paraId="4C62FC74" w14:textId="77777777">
      <w:pPr>
        <w:pStyle w:val="Heading2"/>
      </w:pPr>
      <w:r>
        <w:t>6.2 Formules des estimateurs</w:t>
      </w:r>
    </w:p>
    <w:p w14:paraId="0C7BCD4E" w14:textId="77777777">
      <w:r>
        <w:t>La standardisation compare, pour chaque profil observé, les prédictions du même modèle sous weekend et sous semaine, puis moyenne les contrastes :</w:t>
      </w:r>
    </w:p>
    <w:p w14:paraId="047FD0AD" w14:textId="77777777">
      <w:pPr>
        <w:pStyle w:val="Equation"/>
      </w:pPr>
      <w:r>
        <w:t>τ̂ (standardisation) = (1/n) Σ</w:t>
      </w:r>
      <w:r>
        <w:t>ᵢ</w:t>
      </w:r>
      <w:r>
        <w:t xml:space="preserve"> [m̂₁(Z</w:t>
      </w:r>
      <w:r>
        <w:t>ᵢ</w:t>
      </w:r>
      <w:r>
        <w:t>) − m̂₀(Z</w:t>
      </w:r>
      <w:r>
        <w:t>ᵢ</w:t>
      </w:r>
      <w:r>
        <w:t>)]</w:t>
      </w:r>
    </w:p>
    <w:p w14:paraId="36753E30" w14:textId="77777777">
      <w:r>
        <w:t>L'IPW de Hájek donne davantage de poids aux observations dont l'exposition était moins probable compte tenu de Z. La normalisation séparée des deux groupes stabilise les moyennes :</w:t>
      </w:r>
    </w:p>
    <w:p w14:paraId="4ADF79E6" w14:textId="77777777">
      <w:pPr>
        <w:pStyle w:val="Equation"/>
        <w:spacing w:after="60"/>
      </w:pPr>
      <w:r>
        <w:t>μ̂₁ (IPW) = [Σ</w:t>
      </w:r>
      <w:r>
        <w:t>ᵢ</w:t>
      </w:r>
      <w:r>
        <w:t xml:space="preserve"> T</w:t>
      </w:r>
      <w:r>
        <w:t>ᵢ</w:t>
      </w:r>
      <w:r>
        <w:t>Y</w:t>
      </w:r>
      <w:r>
        <w:t>ᵢ</w:t>
      </w:r>
      <w:r>
        <w:t>/ê</w:t>
      </w:r>
      <w:r>
        <w:t>ᵢ</w:t>
      </w:r>
      <w:r>
        <w:t>] / [Σ</w:t>
      </w:r>
      <w:r>
        <w:t>ᵢ</w:t>
      </w:r>
      <w:r>
        <w:t xml:space="preserve"> T</w:t>
      </w:r>
      <w:r>
        <w:t>ᵢ</w:t>
      </w:r>
      <w:r>
        <w:t>/ê</w:t>
      </w:r>
      <w:r>
        <w:t>ᵢ</w:t>
      </w:r>
      <w:r>
        <w:t>]</w:t>
      </w:r>
    </w:p>
    <w:p w14:paraId="7A544AD0" w14:textId="77777777">
      <w:pPr>
        <w:pStyle w:val="Equation"/>
      </w:pPr>
      <w:r>
        <w:t>μ̂₀ (IPW) = [Σ</w:t>
      </w:r>
      <w:r>
        <w:t>ᵢ</w:t>
      </w:r>
      <w:r>
        <w:t xml:space="preserve"> (1−T</w:t>
      </w:r>
      <w:r>
        <w:t>ᵢ</w:t>
      </w:r>
      <w:r>
        <w:t>)Y</w:t>
      </w:r>
      <w:r>
        <w:t>ᵢ</w:t>
      </w:r>
      <w:r>
        <w:t>/(1−ê</w:t>
      </w:r>
      <w:r>
        <w:t>ᵢ</w:t>
      </w:r>
      <w:r>
        <w:t>)] / [Σ</w:t>
      </w:r>
      <w:r>
        <w:t>ᵢ</w:t>
      </w:r>
      <w:r>
        <w:t xml:space="preserve"> (1−T</w:t>
      </w:r>
      <w:r>
        <w:t>ᵢ</w:t>
      </w:r>
      <w:r>
        <w:t>)/(1−ê</w:t>
      </w:r>
      <w:r>
        <w:t>ᵢ</w:t>
      </w:r>
      <w:r>
        <w:t>)]</w:t>
      </w:r>
    </w:p>
    <w:p w14:paraId="0EC6FABD" w14:textId="77777777">
      <w:r>
        <w:t>L'AIPW ajoute aux prédictions de résultat une correction pondérée par les résidus observés. Avec des prédictions croisées, l'estimateur utilisé est :</w:t>
      </w:r>
    </w:p>
    <w:p w14:paraId="028DCACE" w14:textId="77777777">
      <w:pPr>
        <w:pStyle w:val="Equation"/>
      </w:pPr>
      <w:r>
        <w:t>τ̂ (AIPW) = (1/n) Σ</w:t>
      </w:r>
      <w:r>
        <w:t>ᵢ</w:t>
      </w:r>
      <w:r>
        <w:t xml:space="preserve"> {m̂₁(Z</w:t>
      </w:r>
      <w:r>
        <w:t>ᵢ</w:t>
      </w:r>
      <w:r>
        <w:t>) − m̂₀(Z</w:t>
      </w:r>
      <w:r>
        <w:t>ᵢ</w:t>
      </w:r>
      <w:r>
        <w:t>)</w:t>
      </w:r>
      <w:r>
        <w:br/>
        <w:t>+ T</w:t>
      </w:r>
      <w:r>
        <w:t>ᵢ</w:t>
      </w:r>
      <w:r>
        <w:t>[Y</w:t>
      </w:r>
      <w:r>
        <w:t>ᵢ</w:t>
      </w:r>
      <w:r>
        <w:t>−</w:t>
      </w:r>
      <w:r>
        <w:t>m̂₁(Z</w:t>
      </w:r>
      <w:r>
        <w:t>ᵢ</w:t>
      </w:r>
      <w:r>
        <w:t>)]/ê</w:t>
      </w:r>
      <w:r>
        <w:t>ᵢ</w:t>
      </w:r>
      <w:r>
        <w:t xml:space="preserve"> − (1−T</w:t>
      </w:r>
      <w:r>
        <w:t>ᵢ</w:t>
      </w:r>
      <w:r>
        <w:t>)[Y</w:t>
      </w:r>
      <w:r>
        <w:t>ᵢ</w:t>
      </w:r>
      <w:r>
        <w:t>−</w:t>
      </w:r>
      <w:r>
        <w:t>m̂₀(Z</w:t>
      </w:r>
      <w:r>
        <w:t>ᵢ</w:t>
      </w:r>
      <w:r>
        <w:t>)]/(1−ê</w:t>
      </w:r>
      <w:r>
        <w:t>ᵢ</w:t>
      </w:r>
      <w:r>
        <w:t>)}</w:t>
      </w:r>
    </w:p>
    <w:p w14:paraId="14A9DF69" w14:textId="77777777">
      <w:r>
        <w:t>L'AIPW est doublement robuste : sous les conditions régulières, il peut rester cohérent si le modèle du traitement ou le modèle du résultat est correctement spécifié. Cette propriété ne protège pas contre un mauvais DAG, une covariable post-traitement, une violation de positivité ou un confondeur non mesuré [6].</w:t>
      </w:r>
    </w:p>
    <w:p w14:paraId="53EC76D1" w14:textId="77777777">
      <w:pPr>
        <w:pStyle w:val="Heading2"/>
      </w:pPr>
      <w:r>
        <w:lastRenderedPageBreak/>
        <w:t>6.3 Incertitude</w:t>
      </w:r>
    </w:p>
    <w:p w14:paraId="31971F32" w14:textId="77777777">
      <w:pPr>
        <w:keepLines/>
      </w:pPr>
      <w:r>
        <w:t xml:space="preserve">L'intervalle de la différence brute utilise l'approximation normale de deux proportions. La standardisation utilise les quantiles 2,5 % et 97,5 % d'un bootstrap de 500 réplications; chaque réplication réajuste une régression logistique, sans refaire le cross-fitting complet. Les erreurs standards IPW et AIPW reposent sur la dispersion empirique des fonctions d'influence. Ces intervalles décrivent l'incertitude d'échantillonnage conditionnellement aux modèles; ils n'intègrent pas l'incertitude sur le DAG ni </w:t>
      </w:r>
      <w:r>
        <w:t>la confusion cachée.</w:t>
      </w:r>
    </w:p>
    <w:p w14:paraId="0D9490E4" w14:textId="77777777">
      <w:pPr>
        <w:pStyle w:val="Heading2"/>
      </w:pPr>
      <w:r>
        <w:t>6.4 Recouvrement des scores</w:t>
      </w:r>
    </w:p>
    <w:p w14:paraId="1787387F" w14:textId="77777777">
      <w:pPr>
        <w:keepNext/>
        <w:keepLines/>
        <w:spacing w:before="100" w:after="40"/>
        <w:jc w:val="center"/>
      </w:pPr>
      <w:r>
        <w:rPr>
          <w:noProof/>
        </w:rPr>
        <w:drawing>
          <wp:inline distT="0" distB="0" distL="0" distR="0" wp14:anchorId="72176207" wp14:editId="06189A3D">
            <wp:extent cx="5440680" cy="2817765"/>
            <wp:effectExtent l="0" t="0" r="0" b="0"/>
            <wp:docPr id="4" name="Picture 4" descr="Histogrammes superposés des scores de propension pour les sessions de semaine et de weekend, avec seuils 0,05 et 0,95." title="Figure 4. Recouvrement des scores de prop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couvrement_propension.png"/>
                    <pic:cNvPicPr/>
                  </pic:nvPicPr>
                  <pic:blipFill>
                    <a:blip r:embed="rId15"/>
                    <a:srcRect t="6500"/>
                    <a:stretch>
                      <a:fillRect/>
                    </a:stretch>
                  </pic:blipFill>
                  <pic:spPr>
                    <a:xfrm>
                      <a:off x="0" y="0"/>
                      <a:ext cx="5440680" cy="2817765"/>
                    </a:xfrm>
                    <a:prstGeom prst="rect">
                      <a:avLst/>
                    </a:prstGeom>
                  </pic:spPr>
                </pic:pic>
              </a:graphicData>
            </a:graphic>
          </wp:inline>
        </w:drawing>
      </w:r>
    </w:p>
    <w:p w14:paraId="398F266C" w14:textId="77777777">
      <w:pPr>
        <w:pStyle w:val="Caption"/>
      </w:pPr>
      <w:r>
        <w:t>Figure 4. Recouvrement des scores de propension</w:t>
      </w:r>
    </w:p>
    <w:p w14:paraId="43C1BF3F" w14:textId="77777777">
      <w:pPr>
        <w:pStyle w:val="Source"/>
      </w:pPr>
      <w:r>
        <w:t>Source : prédictions croisées du modèle de traitement dans la population SpecialDay=0.</w:t>
      </w:r>
    </w:p>
    <w:p w14:paraId="7AD2AEB2" w14:textId="77777777">
      <w:pPr>
        <w:pStyle w:val="TableCaption"/>
      </w:pPr>
      <w:r>
        <w:t>Tableau 8. Diagnostics du score de propension et des poids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14:paraId="6734E2D0" w14:textId="77777777">
        <w:trPr>
          <w:cantSplit/>
          <w:tblHeader/>
        </w:trPr>
        <w:tc>
          <w:tcPr>
            <w:tcW w:w="6500" w:type="dxa"/>
            <w:shd w:val="clear" w:color="auto" w:fill="E7E6E6"/>
            <w:tcMar>
              <w:top w:w="90" w:type="dxa"/>
              <w:left w:w="120" w:type="dxa"/>
              <w:bottom w:w="90" w:type="dxa"/>
              <w:right w:w="120" w:type="dxa"/>
            </w:tcMar>
            <w:vAlign w:val="center"/>
          </w:tcPr>
          <w:p w14:paraId="7F84E88F" w14:textId="77777777">
            <w:pPr>
              <w:keepNext/>
              <w:keepLines/>
              <w:spacing w:after="0" w:line="252" w:lineRule="auto"/>
              <w:jc w:val="left"/>
            </w:pPr>
            <w:r>
              <w:rPr>
                <w:b/>
                <w:sz w:val="18"/>
              </w:rPr>
              <w:t>Diagnostic</w:t>
            </w:r>
          </w:p>
        </w:tc>
        <w:tc>
          <w:tcPr>
            <w:tcW w:w="2860" w:type="dxa"/>
            <w:shd w:val="clear" w:color="auto" w:fill="E7E6E6"/>
            <w:tcMar>
              <w:top w:w="90" w:type="dxa"/>
              <w:left w:w="120" w:type="dxa"/>
              <w:bottom w:w="90" w:type="dxa"/>
              <w:right w:w="120" w:type="dxa"/>
            </w:tcMar>
            <w:vAlign w:val="center"/>
          </w:tcPr>
          <w:p w14:paraId="28DAA691" w14:textId="77777777">
            <w:pPr>
              <w:keepNext/>
              <w:keepLines/>
              <w:spacing w:after="0" w:line="252" w:lineRule="auto"/>
              <w:jc w:val="right"/>
            </w:pPr>
            <w:r>
              <w:rPr>
                <w:b/>
                <w:sz w:val="18"/>
              </w:rPr>
              <w:t>Valeur</w:t>
            </w:r>
          </w:p>
        </w:tc>
      </w:tr>
      <w:tr w14:paraId="1B2A0911" w14:textId="77777777">
        <w:trPr>
          <w:cantSplit/>
        </w:trPr>
        <w:tc>
          <w:tcPr>
            <w:tcW w:w="6500" w:type="dxa"/>
            <w:tcMar>
              <w:top w:w="90" w:type="dxa"/>
              <w:left w:w="120" w:type="dxa"/>
              <w:bottom w:w="90" w:type="dxa"/>
              <w:right w:w="120" w:type="dxa"/>
            </w:tcMar>
            <w:vAlign w:val="center"/>
          </w:tcPr>
          <w:p w14:paraId="72EE331B" w14:textId="77777777">
            <w:pPr>
              <w:keepNext/>
              <w:keepLines/>
              <w:spacing w:after="0" w:line="252" w:lineRule="auto"/>
              <w:jc w:val="left"/>
            </w:pPr>
            <w:r>
              <w:rPr>
                <w:sz w:val="18"/>
              </w:rPr>
              <w:t>Score minimal</w:t>
            </w:r>
          </w:p>
        </w:tc>
        <w:tc>
          <w:tcPr>
            <w:tcW w:w="2860" w:type="dxa"/>
            <w:tcMar>
              <w:top w:w="90" w:type="dxa"/>
              <w:left w:w="120" w:type="dxa"/>
              <w:bottom w:w="90" w:type="dxa"/>
              <w:right w:w="120" w:type="dxa"/>
            </w:tcMar>
            <w:vAlign w:val="center"/>
          </w:tcPr>
          <w:p w14:paraId="372B8214" w14:textId="77777777">
            <w:pPr>
              <w:keepNext/>
              <w:keepLines/>
              <w:spacing w:after="0" w:line="252" w:lineRule="auto"/>
              <w:jc w:val="right"/>
            </w:pPr>
            <w:r>
              <w:rPr>
                <w:sz w:val="18"/>
              </w:rPr>
              <w:t>0,048</w:t>
            </w:r>
          </w:p>
        </w:tc>
      </w:tr>
      <w:tr w14:paraId="063BB7F6" w14:textId="77777777">
        <w:trPr>
          <w:cantSplit/>
        </w:trPr>
        <w:tc>
          <w:tcPr>
            <w:tcW w:w="6500" w:type="dxa"/>
            <w:shd w:val="clear" w:color="auto" w:fill="F7F7F7"/>
            <w:tcMar>
              <w:top w:w="90" w:type="dxa"/>
              <w:left w:w="120" w:type="dxa"/>
              <w:bottom w:w="90" w:type="dxa"/>
              <w:right w:w="120" w:type="dxa"/>
            </w:tcMar>
            <w:vAlign w:val="center"/>
          </w:tcPr>
          <w:p w14:paraId="36AA95D0" w14:textId="77777777">
            <w:pPr>
              <w:keepNext/>
              <w:keepLines/>
              <w:spacing w:after="0" w:line="252" w:lineRule="auto"/>
              <w:jc w:val="left"/>
            </w:pPr>
            <w:r>
              <w:rPr>
                <w:sz w:val="18"/>
              </w:rPr>
              <w:t>Score médian</w:t>
            </w:r>
          </w:p>
        </w:tc>
        <w:tc>
          <w:tcPr>
            <w:tcW w:w="2860" w:type="dxa"/>
            <w:shd w:val="clear" w:color="auto" w:fill="F7F7F7"/>
            <w:tcMar>
              <w:top w:w="90" w:type="dxa"/>
              <w:left w:w="120" w:type="dxa"/>
              <w:bottom w:w="90" w:type="dxa"/>
              <w:right w:w="120" w:type="dxa"/>
            </w:tcMar>
            <w:vAlign w:val="center"/>
          </w:tcPr>
          <w:p w14:paraId="49420EB9" w14:textId="77777777">
            <w:pPr>
              <w:keepNext/>
              <w:keepLines/>
              <w:spacing w:after="0" w:line="252" w:lineRule="auto"/>
              <w:jc w:val="right"/>
            </w:pPr>
            <w:r>
              <w:rPr>
                <w:sz w:val="18"/>
              </w:rPr>
              <w:t>0,229</w:t>
            </w:r>
          </w:p>
        </w:tc>
      </w:tr>
      <w:tr w14:paraId="069F4130" w14:textId="77777777">
        <w:trPr>
          <w:cantSplit/>
        </w:trPr>
        <w:tc>
          <w:tcPr>
            <w:tcW w:w="6500" w:type="dxa"/>
            <w:tcMar>
              <w:top w:w="90" w:type="dxa"/>
              <w:left w:w="120" w:type="dxa"/>
              <w:bottom w:w="90" w:type="dxa"/>
              <w:right w:w="120" w:type="dxa"/>
            </w:tcMar>
            <w:vAlign w:val="center"/>
          </w:tcPr>
          <w:p w14:paraId="3C0D094C" w14:textId="77777777">
            <w:pPr>
              <w:keepNext/>
              <w:keepLines/>
              <w:spacing w:after="0" w:line="252" w:lineRule="auto"/>
              <w:jc w:val="left"/>
            </w:pPr>
            <w:r>
              <w:rPr>
                <w:sz w:val="18"/>
              </w:rPr>
              <w:t>Score maximal</w:t>
            </w:r>
          </w:p>
        </w:tc>
        <w:tc>
          <w:tcPr>
            <w:tcW w:w="2860" w:type="dxa"/>
            <w:tcMar>
              <w:top w:w="90" w:type="dxa"/>
              <w:left w:w="120" w:type="dxa"/>
              <w:bottom w:w="90" w:type="dxa"/>
              <w:right w:w="120" w:type="dxa"/>
            </w:tcMar>
            <w:vAlign w:val="center"/>
          </w:tcPr>
          <w:p w14:paraId="5B2A7389" w14:textId="77777777">
            <w:pPr>
              <w:keepNext/>
              <w:keepLines/>
              <w:spacing w:after="0" w:line="252" w:lineRule="auto"/>
              <w:jc w:val="right"/>
            </w:pPr>
            <w:r>
              <w:rPr>
                <w:sz w:val="18"/>
              </w:rPr>
              <w:t>0,919</w:t>
            </w:r>
          </w:p>
        </w:tc>
      </w:tr>
      <w:tr w14:paraId="515DA927" w14:textId="77777777">
        <w:trPr>
          <w:cantSplit/>
        </w:trPr>
        <w:tc>
          <w:tcPr>
            <w:tcW w:w="6500" w:type="dxa"/>
            <w:shd w:val="clear" w:color="auto" w:fill="F7F7F7"/>
            <w:tcMar>
              <w:top w:w="90" w:type="dxa"/>
              <w:left w:w="120" w:type="dxa"/>
              <w:bottom w:w="90" w:type="dxa"/>
              <w:right w:w="120" w:type="dxa"/>
            </w:tcMar>
            <w:vAlign w:val="center"/>
          </w:tcPr>
          <w:p w14:paraId="26948FED" w14:textId="77777777">
            <w:pPr>
              <w:keepNext/>
              <w:keepLines/>
              <w:spacing w:after="0" w:line="252" w:lineRule="auto"/>
              <w:jc w:val="left"/>
            </w:pPr>
            <w:r>
              <w:rPr>
                <w:sz w:val="18"/>
              </w:rPr>
              <w:t>Observations hors [0,05 ; 0,95]</w:t>
            </w:r>
          </w:p>
        </w:tc>
        <w:tc>
          <w:tcPr>
            <w:tcW w:w="2860" w:type="dxa"/>
            <w:shd w:val="clear" w:color="auto" w:fill="F7F7F7"/>
            <w:tcMar>
              <w:top w:w="90" w:type="dxa"/>
              <w:left w:w="120" w:type="dxa"/>
              <w:bottom w:w="90" w:type="dxa"/>
              <w:right w:w="120" w:type="dxa"/>
            </w:tcMar>
            <w:vAlign w:val="center"/>
          </w:tcPr>
          <w:p w14:paraId="2C62477F" w14:textId="77777777">
            <w:pPr>
              <w:keepNext/>
              <w:keepLines/>
              <w:spacing w:after="0" w:line="252" w:lineRule="auto"/>
              <w:jc w:val="right"/>
            </w:pPr>
            <w:r>
              <w:rPr>
                <w:sz w:val="18"/>
              </w:rPr>
              <w:t>9</w:t>
            </w:r>
          </w:p>
        </w:tc>
      </w:tr>
      <w:tr w14:paraId="3DFEF224" w14:textId="77777777">
        <w:trPr>
          <w:cantSplit/>
        </w:trPr>
        <w:tc>
          <w:tcPr>
            <w:tcW w:w="6500" w:type="dxa"/>
            <w:tcMar>
              <w:top w:w="90" w:type="dxa"/>
              <w:left w:w="120" w:type="dxa"/>
              <w:bottom w:w="90" w:type="dxa"/>
              <w:right w:w="120" w:type="dxa"/>
            </w:tcMar>
            <w:vAlign w:val="center"/>
          </w:tcPr>
          <w:p w14:paraId="112F2B17" w14:textId="77777777">
            <w:pPr>
              <w:keepNext/>
              <w:keepLines/>
              <w:spacing w:after="0" w:line="252" w:lineRule="auto"/>
              <w:jc w:val="left"/>
            </w:pPr>
            <w:r>
              <w:rPr>
                <w:sz w:val="18"/>
              </w:rPr>
              <w:t>Poids stabilisé maximal</w:t>
            </w:r>
          </w:p>
        </w:tc>
        <w:tc>
          <w:tcPr>
            <w:tcW w:w="2860" w:type="dxa"/>
            <w:tcMar>
              <w:top w:w="90" w:type="dxa"/>
              <w:left w:w="120" w:type="dxa"/>
              <w:bottom w:w="90" w:type="dxa"/>
              <w:right w:w="120" w:type="dxa"/>
            </w:tcMar>
            <w:vAlign w:val="center"/>
          </w:tcPr>
          <w:p w14:paraId="5994D6BD" w14:textId="77777777">
            <w:pPr>
              <w:keepNext/>
              <w:keepLines/>
              <w:spacing w:after="0" w:line="252" w:lineRule="auto"/>
              <w:jc w:val="right"/>
            </w:pPr>
            <w:r>
              <w:rPr>
                <w:sz w:val="18"/>
              </w:rPr>
              <w:t>7,274</w:t>
            </w:r>
          </w:p>
        </w:tc>
      </w:tr>
      <w:tr w14:paraId="4B43C4DB" w14:textId="77777777">
        <w:trPr>
          <w:cantSplit/>
        </w:trPr>
        <w:tc>
          <w:tcPr>
            <w:tcW w:w="6500" w:type="dxa"/>
            <w:shd w:val="clear" w:color="auto" w:fill="F7F7F7"/>
            <w:tcMar>
              <w:top w:w="90" w:type="dxa"/>
              <w:left w:w="120" w:type="dxa"/>
              <w:bottom w:w="90" w:type="dxa"/>
              <w:right w:w="120" w:type="dxa"/>
            </w:tcMar>
            <w:vAlign w:val="center"/>
          </w:tcPr>
          <w:p w14:paraId="789C34FA" w14:textId="77777777">
            <w:pPr>
              <w:keepNext/>
              <w:keepLines/>
              <w:spacing w:after="0" w:line="252" w:lineRule="auto"/>
              <w:jc w:val="left"/>
            </w:pPr>
            <w:r>
              <w:rPr>
                <w:sz w:val="18"/>
              </w:rPr>
              <w:t>Taille effective - semaine</w:t>
            </w:r>
          </w:p>
        </w:tc>
        <w:tc>
          <w:tcPr>
            <w:tcW w:w="2860" w:type="dxa"/>
            <w:shd w:val="clear" w:color="auto" w:fill="F7F7F7"/>
            <w:tcMar>
              <w:top w:w="90" w:type="dxa"/>
              <w:left w:w="120" w:type="dxa"/>
              <w:bottom w:w="90" w:type="dxa"/>
              <w:right w:w="120" w:type="dxa"/>
            </w:tcMar>
            <w:vAlign w:val="center"/>
          </w:tcPr>
          <w:p w14:paraId="1BA95C39" w14:textId="77777777">
            <w:pPr>
              <w:keepNext/>
              <w:keepLines/>
              <w:spacing w:after="0" w:line="252" w:lineRule="auto"/>
              <w:jc w:val="right"/>
            </w:pPr>
            <w:r>
              <w:rPr>
                <w:sz w:val="18"/>
              </w:rPr>
              <w:t>8 181,525</w:t>
            </w:r>
          </w:p>
        </w:tc>
      </w:tr>
      <w:tr w14:paraId="3A50CEB5" w14:textId="77777777">
        <w:trPr>
          <w:cantSplit/>
        </w:trPr>
        <w:tc>
          <w:tcPr>
            <w:tcW w:w="6500" w:type="dxa"/>
            <w:tcMar>
              <w:top w:w="90" w:type="dxa"/>
              <w:left w:w="120" w:type="dxa"/>
              <w:bottom w:w="90" w:type="dxa"/>
              <w:right w:w="120" w:type="dxa"/>
            </w:tcMar>
            <w:vAlign w:val="center"/>
          </w:tcPr>
          <w:p w14:paraId="01E3F0B6" w14:textId="77777777">
            <w:pPr>
              <w:keepNext/>
              <w:keepLines/>
              <w:spacing w:after="0" w:line="252" w:lineRule="auto"/>
              <w:jc w:val="left"/>
            </w:pPr>
            <w:r>
              <w:rPr>
                <w:sz w:val="18"/>
              </w:rPr>
              <w:t>Taille effective - weekend</w:t>
            </w:r>
          </w:p>
        </w:tc>
        <w:tc>
          <w:tcPr>
            <w:tcW w:w="2860" w:type="dxa"/>
            <w:tcMar>
              <w:top w:w="90" w:type="dxa"/>
              <w:left w:w="120" w:type="dxa"/>
              <w:bottom w:w="90" w:type="dxa"/>
              <w:right w:w="120" w:type="dxa"/>
            </w:tcMar>
            <w:vAlign w:val="center"/>
          </w:tcPr>
          <w:p w14:paraId="20961FDB" w14:textId="77777777">
            <w:pPr>
              <w:keepNext/>
              <w:keepLines/>
              <w:spacing w:after="0" w:line="252" w:lineRule="auto"/>
              <w:jc w:val="right"/>
            </w:pPr>
            <w:r>
              <w:rPr>
                <w:sz w:val="18"/>
              </w:rPr>
              <w:t>2 411,922</w:t>
            </w:r>
          </w:p>
        </w:tc>
      </w:tr>
    </w:tbl>
    <w:p w14:paraId="4916BE6F" w14:textId="77777777">
      <w:pPr>
        <w:pStyle w:val="Source"/>
      </w:pPr>
      <w:r>
        <w:t>Source : calculs réalisés à partir des scores de propension croisés.</w:t>
      </w:r>
    </w:p>
    <w:p w14:paraId="08948983" w14:textId="77777777">
      <w:r>
        <w:t xml:space="preserve">Les distributions se chevauchent sur l'essentiel du support. Neuf observations seulement se situent hors de [0,05 ; 0,95], et le poids stabilisé maximal reste inférieur à 7,3. Les tailles </w:t>
      </w:r>
      <w:r>
        <w:lastRenderedPageBreak/>
        <w:t>effectives conservent environ 97,7 % de l'effectif de semaine et 89,1 % de l'effectif de weekend. Ces diagnostics soutiennent la positivité mesurée dans la population restreinte, sans prouver la positivité pour des combinaisons non observées de covariables.</w:t>
      </w:r>
    </w:p>
    <w:p w14:paraId="456C0A41" w14:textId="77777777">
      <w:pPr>
        <w:pStyle w:val="Heading2"/>
      </w:pPr>
      <w:r>
        <w:t>6.5 Équilibre des covariables</w:t>
      </w:r>
    </w:p>
    <w:p w14:paraId="5CD24B22" w14:textId="77777777">
      <w:pPr>
        <w:keepNext/>
        <w:keepLines/>
        <w:spacing w:before="100" w:after="40"/>
        <w:jc w:val="center"/>
      </w:pPr>
      <w:r>
        <w:rPr>
          <w:noProof/>
        </w:rPr>
        <w:drawing>
          <wp:inline distT="0" distB="0" distL="0" distR="0" wp14:anchorId="78E1CBBB" wp14:editId="0951C045">
            <wp:extent cx="4434840" cy="3681680"/>
            <wp:effectExtent l="0" t="0" r="0" b="0"/>
            <wp:docPr id="5" name="Picture 5" descr="Graphique des différences moyennes standardisées avant et après IPW pour les 18 indicatrices les plus déséquilibrées." title="Figure 5. Équilibre avant et après pondération 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quilibre_covariables.png"/>
                    <pic:cNvPicPr/>
                  </pic:nvPicPr>
                  <pic:blipFill>
                    <a:blip r:embed="rId16"/>
                    <a:srcRect t="4500"/>
                    <a:stretch>
                      <a:fillRect/>
                    </a:stretch>
                  </pic:blipFill>
                  <pic:spPr>
                    <a:xfrm>
                      <a:off x="0" y="0"/>
                      <a:ext cx="4434840" cy="3681680"/>
                    </a:xfrm>
                    <a:prstGeom prst="rect">
                      <a:avLst/>
                    </a:prstGeom>
                  </pic:spPr>
                </pic:pic>
              </a:graphicData>
            </a:graphic>
          </wp:inline>
        </w:drawing>
      </w:r>
    </w:p>
    <w:p w14:paraId="0A994A4C" w14:textId="77777777">
      <w:pPr>
        <w:pStyle w:val="Caption"/>
      </w:pPr>
      <w:r>
        <w:t>Figure 5. Équilibre avant et après pondération IPW</w:t>
      </w:r>
    </w:p>
    <w:p w14:paraId="35C3EB26" w14:textId="77777777">
      <w:pPr>
        <w:pStyle w:val="Source"/>
      </w:pPr>
      <w:r>
        <w:t>Source : différences moyennes standardisées des indicatrices de covariables.</w:t>
      </w:r>
    </w:p>
    <w:p w14:paraId="3820EAB8" w14:textId="77777777">
      <w:r>
        <w:t>Le SMD absolu maximal passe de 0,268 à 0,040. Le nombre d'indicatrices dont |SMD| dépasse 0,10 passe de 9 à 0. L'IPW obtient ainsi un bon équilibre marginal des indicatrices mesurées selon le seuil de 0,10. Ce contrôle ne porte pas sur les promotions, les prix ou l'intention préalable absents de la base.</w:t>
      </w:r>
    </w:p>
    <w:p w14:paraId="61D96D7B" w14:textId="77777777">
      <w:pPr>
        <w:pStyle w:val="Heading1"/>
      </w:pPr>
      <w:bookmarkStart w:id="6" w:name="_Toc235024102"/>
      <w:r>
        <w:lastRenderedPageBreak/>
        <w:t>7. Résultats et analyses de robustesse</w:t>
      </w:r>
      <w:bookmarkEnd w:id="6"/>
    </w:p>
    <w:p w14:paraId="6D4A0350" w14:textId="77777777">
      <w:pPr>
        <w:pStyle w:val="Heading2"/>
      </w:pPr>
      <w:r>
        <w:t>7.1 Estimations principales</w:t>
      </w:r>
    </w:p>
    <w:p w14:paraId="4B6E0906" w14:textId="77777777">
      <w:pPr>
        <w:pStyle w:val="TableCaption"/>
      </w:pPr>
      <w:r>
        <w:t>Tableau 9. Estimation du contraste semaine-weekend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000"/>
        <w:gridCol w:w="2240"/>
        <w:gridCol w:w="2060"/>
        <w:gridCol w:w="2060"/>
      </w:tblGrid>
      <w:tr w14:paraId="2E144B5D" w14:textId="77777777">
        <w:trPr>
          <w:cantSplit/>
          <w:tblHeader/>
        </w:trPr>
        <w:tc>
          <w:tcPr>
            <w:tcW w:w="3000" w:type="dxa"/>
            <w:shd w:val="clear" w:color="auto" w:fill="E7E6E6"/>
            <w:tcMar>
              <w:top w:w="90" w:type="dxa"/>
              <w:left w:w="120" w:type="dxa"/>
              <w:bottom w:w="90" w:type="dxa"/>
              <w:right w:w="120" w:type="dxa"/>
            </w:tcMar>
            <w:vAlign w:val="center"/>
          </w:tcPr>
          <w:p w14:paraId="575D19D9" w14:textId="77777777">
            <w:pPr>
              <w:keepNext/>
              <w:keepLines/>
              <w:spacing w:after="0" w:line="252" w:lineRule="auto"/>
              <w:jc w:val="left"/>
            </w:pPr>
            <w:r>
              <w:rPr>
                <w:b/>
                <w:sz w:val="18"/>
              </w:rPr>
              <w:t>Méthode</w:t>
            </w:r>
          </w:p>
        </w:tc>
        <w:tc>
          <w:tcPr>
            <w:tcW w:w="2240" w:type="dxa"/>
            <w:shd w:val="clear" w:color="auto" w:fill="E7E6E6"/>
            <w:tcMar>
              <w:top w:w="90" w:type="dxa"/>
              <w:left w:w="120" w:type="dxa"/>
              <w:bottom w:w="90" w:type="dxa"/>
              <w:right w:w="120" w:type="dxa"/>
            </w:tcMar>
            <w:vAlign w:val="center"/>
          </w:tcPr>
          <w:p w14:paraId="29B57E8A" w14:textId="77777777">
            <w:pPr>
              <w:keepNext/>
              <w:keepLines/>
              <w:spacing w:after="0" w:line="252" w:lineRule="auto"/>
              <w:jc w:val="right"/>
            </w:pPr>
            <w:r>
              <w:rPr>
                <w:b/>
                <w:sz w:val="18"/>
              </w:rPr>
              <w:t>Estimation (points)</w:t>
            </w:r>
          </w:p>
        </w:tc>
        <w:tc>
          <w:tcPr>
            <w:tcW w:w="2060" w:type="dxa"/>
            <w:shd w:val="clear" w:color="auto" w:fill="E7E6E6"/>
            <w:tcMar>
              <w:top w:w="90" w:type="dxa"/>
              <w:left w:w="120" w:type="dxa"/>
              <w:bottom w:w="90" w:type="dxa"/>
              <w:right w:w="120" w:type="dxa"/>
            </w:tcMar>
            <w:vAlign w:val="center"/>
          </w:tcPr>
          <w:p w14:paraId="32C42C68" w14:textId="77777777">
            <w:pPr>
              <w:keepNext/>
              <w:keepLines/>
              <w:spacing w:after="0" w:line="252" w:lineRule="auto"/>
              <w:jc w:val="right"/>
            </w:pPr>
            <w:r>
              <w:rPr>
                <w:b/>
                <w:sz w:val="18"/>
              </w:rPr>
              <w:t>IC 95 % bas</w:t>
            </w:r>
          </w:p>
        </w:tc>
        <w:tc>
          <w:tcPr>
            <w:tcW w:w="2060" w:type="dxa"/>
            <w:shd w:val="clear" w:color="auto" w:fill="E7E6E6"/>
            <w:tcMar>
              <w:top w:w="90" w:type="dxa"/>
              <w:left w:w="120" w:type="dxa"/>
              <w:bottom w:w="90" w:type="dxa"/>
              <w:right w:w="120" w:type="dxa"/>
            </w:tcMar>
            <w:vAlign w:val="center"/>
          </w:tcPr>
          <w:p w14:paraId="2AE85512" w14:textId="77777777">
            <w:pPr>
              <w:keepNext/>
              <w:keepLines/>
              <w:spacing w:after="0" w:line="252" w:lineRule="auto"/>
              <w:jc w:val="right"/>
            </w:pPr>
            <w:r>
              <w:rPr>
                <w:b/>
                <w:sz w:val="18"/>
              </w:rPr>
              <w:t>IC 95 % haut</w:t>
            </w:r>
          </w:p>
        </w:tc>
      </w:tr>
      <w:tr w14:paraId="1A2BCC49" w14:textId="77777777">
        <w:trPr>
          <w:cantSplit/>
        </w:trPr>
        <w:tc>
          <w:tcPr>
            <w:tcW w:w="3000" w:type="dxa"/>
            <w:tcMar>
              <w:top w:w="90" w:type="dxa"/>
              <w:left w:w="120" w:type="dxa"/>
              <w:bottom w:w="90" w:type="dxa"/>
              <w:right w:w="120" w:type="dxa"/>
            </w:tcMar>
            <w:vAlign w:val="center"/>
          </w:tcPr>
          <w:p w14:paraId="5B9BEE9F" w14:textId="77777777">
            <w:pPr>
              <w:keepNext/>
              <w:keepLines/>
              <w:spacing w:after="0" w:line="252" w:lineRule="auto"/>
              <w:jc w:val="left"/>
            </w:pPr>
            <w:r>
              <w:rPr>
                <w:sz w:val="18"/>
              </w:rPr>
              <w:t>Brute</w:t>
            </w:r>
          </w:p>
        </w:tc>
        <w:tc>
          <w:tcPr>
            <w:tcW w:w="2240" w:type="dxa"/>
            <w:tcMar>
              <w:top w:w="90" w:type="dxa"/>
              <w:left w:w="120" w:type="dxa"/>
              <w:bottom w:w="90" w:type="dxa"/>
              <w:right w:w="120" w:type="dxa"/>
            </w:tcMar>
            <w:vAlign w:val="center"/>
          </w:tcPr>
          <w:p w14:paraId="081E40AD" w14:textId="77777777">
            <w:pPr>
              <w:keepNext/>
              <w:keepLines/>
              <w:spacing w:after="0" w:line="252" w:lineRule="auto"/>
              <w:jc w:val="right"/>
            </w:pPr>
            <w:r>
              <w:rPr>
                <w:sz w:val="18"/>
              </w:rPr>
              <w:t>2,026</w:t>
            </w:r>
          </w:p>
        </w:tc>
        <w:tc>
          <w:tcPr>
            <w:tcW w:w="2060" w:type="dxa"/>
            <w:tcMar>
              <w:top w:w="90" w:type="dxa"/>
              <w:left w:w="120" w:type="dxa"/>
              <w:bottom w:w="90" w:type="dxa"/>
              <w:right w:w="120" w:type="dxa"/>
            </w:tcMar>
            <w:vAlign w:val="center"/>
          </w:tcPr>
          <w:p w14:paraId="0BA3EA71" w14:textId="77777777">
            <w:pPr>
              <w:keepNext/>
              <w:keepLines/>
              <w:spacing w:after="0" w:line="252" w:lineRule="auto"/>
              <w:jc w:val="right"/>
            </w:pPr>
            <w:r>
              <w:rPr>
                <w:sz w:val="18"/>
              </w:rPr>
              <w:t>0,378</w:t>
            </w:r>
          </w:p>
        </w:tc>
        <w:tc>
          <w:tcPr>
            <w:tcW w:w="2060" w:type="dxa"/>
            <w:tcMar>
              <w:top w:w="90" w:type="dxa"/>
              <w:left w:w="120" w:type="dxa"/>
              <w:bottom w:w="90" w:type="dxa"/>
              <w:right w:w="120" w:type="dxa"/>
            </w:tcMar>
            <w:vAlign w:val="center"/>
          </w:tcPr>
          <w:p w14:paraId="2A65B05E" w14:textId="77777777">
            <w:pPr>
              <w:keepNext/>
              <w:keepLines/>
              <w:spacing w:after="0" w:line="252" w:lineRule="auto"/>
              <w:jc w:val="right"/>
            </w:pPr>
            <w:r>
              <w:rPr>
                <w:sz w:val="18"/>
              </w:rPr>
              <w:t>3,674</w:t>
            </w:r>
          </w:p>
        </w:tc>
      </w:tr>
      <w:tr w14:paraId="6A5F61D5" w14:textId="77777777">
        <w:trPr>
          <w:cantSplit/>
        </w:trPr>
        <w:tc>
          <w:tcPr>
            <w:tcW w:w="3000" w:type="dxa"/>
            <w:shd w:val="clear" w:color="auto" w:fill="F7F7F7"/>
            <w:tcMar>
              <w:top w:w="90" w:type="dxa"/>
              <w:left w:w="120" w:type="dxa"/>
              <w:bottom w:w="90" w:type="dxa"/>
              <w:right w:w="120" w:type="dxa"/>
            </w:tcMar>
            <w:vAlign w:val="center"/>
          </w:tcPr>
          <w:p w14:paraId="1D48C099" w14:textId="77777777">
            <w:pPr>
              <w:keepNext/>
              <w:keepLines/>
              <w:spacing w:after="0" w:line="252" w:lineRule="auto"/>
              <w:jc w:val="left"/>
            </w:pPr>
            <w:r>
              <w:rPr>
                <w:sz w:val="18"/>
              </w:rPr>
              <w:t>Standardisation</w:t>
            </w:r>
          </w:p>
        </w:tc>
        <w:tc>
          <w:tcPr>
            <w:tcW w:w="2240" w:type="dxa"/>
            <w:shd w:val="clear" w:color="auto" w:fill="F7F7F7"/>
            <w:tcMar>
              <w:top w:w="90" w:type="dxa"/>
              <w:left w:w="120" w:type="dxa"/>
              <w:bottom w:w="90" w:type="dxa"/>
              <w:right w:w="120" w:type="dxa"/>
            </w:tcMar>
            <w:vAlign w:val="center"/>
          </w:tcPr>
          <w:p w14:paraId="0B116A47" w14:textId="77777777">
            <w:pPr>
              <w:keepNext/>
              <w:keepLines/>
              <w:spacing w:after="0" w:line="252" w:lineRule="auto"/>
              <w:jc w:val="right"/>
            </w:pPr>
            <w:r>
              <w:rPr>
                <w:sz w:val="18"/>
              </w:rPr>
              <w:t>1,384</w:t>
            </w:r>
          </w:p>
        </w:tc>
        <w:tc>
          <w:tcPr>
            <w:tcW w:w="2060" w:type="dxa"/>
            <w:shd w:val="clear" w:color="auto" w:fill="F7F7F7"/>
            <w:tcMar>
              <w:top w:w="90" w:type="dxa"/>
              <w:left w:w="120" w:type="dxa"/>
              <w:bottom w:w="90" w:type="dxa"/>
              <w:right w:w="120" w:type="dxa"/>
            </w:tcMar>
            <w:vAlign w:val="center"/>
          </w:tcPr>
          <w:p w14:paraId="3626DE37" w14:textId="77777777">
            <w:pPr>
              <w:keepNext/>
              <w:keepLines/>
              <w:spacing w:after="0" w:line="252" w:lineRule="auto"/>
              <w:jc w:val="right"/>
            </w:pPr>
            <w:r>
              <w:rPr>
                <w:sz w:val="18"/>
              </w:rPr>
              <w:t>-0,317</w:t>
            </w:r>
          </w:p>
        </w:tc>
        <w:tc>
          <w:tcPr>
            <w:tcW w:w="2060" w:type="dxa"/>
            <w:shd w:val="clear" w:color="auto" w:fill="F7F7F7"/>
            <w:tcMar>
              <w:top w:w="90" w:type="dxa"/>
              <w:left w:w="120" w:type="dxa"/>
              <w:bottom w:w="90" w:type="dxa"/>
              <w:right w:w="120" w:type="dxa"/>
            </w:tcMar>
            <w:vAlign w:val="center"/>
          </w:tcPr>
          <w:p w14:paraId="0C27B535" w14:textId="77777777">
            <w:pPr>
              <w:keepNext/>
              <w:keepLines/>
              <w:spacing w:after="0" w:line="252" w:lineRule="auto"/>
              <w:jc w:val="right"/>
            </w:pPr>
            <w:r>
              <w:rPr>
                <w:sz w:val="18"/>
              </w:rPr>
              <w:t>2,984</w:t>
            </w:r>
          </w:p>
        </w:tc>
      </w:tr>
      <w:tr w14:paraId="51B6DFFD" w14:textId="77777777">
        <w:trPr>
          <w:cantSplit/>
        </w:trPr>
        <w:tc>
          <w:tcPr>
            <w:tcW w:w="3000" w:type="dxa"/>
            <w:tcMar>
              <w:top w:w="90" w:type="dxa"/>
              <w:left w:w="120" w:type="dxa"/>
              <w:bottom w:w="90" w:type="dxa"/>
              <w:right w:w="120" w:type="dxa"/>
            </w:tcMar>
            <w:vAlign w:val="center"/>
          </w:tcPr>
          <w:p w14:paraId="68390F54" w14:textId="77777777">
            <w:pPr>
              <w:keepNext/>
              <w:keepLines/>
              <w:spacing w:after="0" w:line="252" w:lineRule="auto"/>
              <w:jc w:val="left"/>
            </w:pPr>
            <w:r>
              <w:rPr>
                <w:sz w:val="18"/>
              </w:rPr>
              <w:t>IPW</w:t>
            </w:r>
          </w:p>
        </w:tc>
        <w:tc>
          <w:tcPr>
            <w:tcW w:w="2240" w:type="dxa"/>
            <w:tcMar>
              <w:top w:w="90" w:type="dxa"/>
              <w:left w:w="120" w:type="dxa"/>
              <w:bottom w:w="90" w:type="dxa"/>
              <w:right w:w="120" w:type="dxa"/>
            </w:tcMar>
            <w:vAlign w:val="center"/>
          </w:tcPr>
          <w:p w14:paraId="700DF962" w14:textId="77777777">
            <w:pPr>
              <w:keepNext/>
              <w:keepLines/>
              <w:spacing w:after="0" w:line="252" w:lineRule="auto"/>
              <w:jc w:val="right"/>
            </w:pPr>
            <w:r>
              <w:rPr>
                <w:sz w:val="18"/>
              </w:rPr>
              <w:t>1,444</w:t>
            </w:r>
          </w:p>
        </w:tc>
        <w:tc>
          <w:tcPr>
            <w:tcW w:w="2060" w:type="dxa"/>
            <w:tcMar>
              <w:top w:w="90" w:type="dxa"/>
              <w:left w:w="120" w:type="dxa"/>
              <w:bottom w:w="90" w:type="dxa"/>
              <w:right w:w="120" w:type="dxa"/>
            </w:tcMar>
            <w:vAlign w:val="center"/>
          </w:tcPr>
          <w:p w14:paraId="632505B5" w14:textId="77777777">
            <w:pPr>
              <w:keepNext/>
              <w:keepLines/>
              <w:spacing w:after="0" w:line="252" w:lineRule="auto"/>
              <w:jc w:val="right"/>
            </w:pPr>
            <w:r>
              <w:rPr>
                <w:sz w:val="18"/>
              </w:rPr>
              <w:t>-0,256</w:t>
            </w:r>
          </w:p>
        </w:tc>
        <w:tc>
          <w:tcPr>
            <w:tcW w:w="2060" w:type="dxa"/>
            <w:tcMar>
              <w:top w:w="90" w:type="dxa"/>
              <w:left w:w="120" w:type="dxa"/>
              <w:bottom w:w="90" w:type="dxa"/>
              <w:right w:w="120" w:type="dxa"/>
            </w:tcMar>
            <w:vAlign w:val="center"/>
          </w:tcPr>
          <w:p w14:paraId="1E58DA2E" w14:textId="77777777">
            <w:pPr>
              <w:keepNext/>
              <w:keepLines/>
              <w:spacing w:after="0" w:line="252" w:lineRule="auto"/>
              <w:jc w:val="right"/>
            </w:pPr>
            <w:r>
              <w:rPr>
                <w:sz w:val="18"/>
              </w:rPr>
              <w:t>3,143</w:t>
            </w:r>
          </w:p>
        </w:tc>
      </w:tr>
      <w:tr w14:paraId="28EE7138" w14:textId="77777777">
        <w:trPr>
          <w:cantSplit/>
        </w:trPr>
        <w:tc>
          <w:tcPr>
            <w:tcW w:w="3000" w:type="dxa"/>
            <w:shd w:val="clear" w:color="auto" w:fill="F7F7F7"/>
            <w:tcMar>
              <w:top w:w="90" w:type="dxa"/>
              <w:left w:w="120" w:type="dxa"/>
              <w:bottom w:w="90" w:type="dxa"/>
              <w:right w:w="120" w:type="dxa"/>
            </w:tcMar>
            <w:vAlign w:val="center"/>
          </w:tcPr>
          <w:p w14:paraId="6FBBDF79" w14:textId="77777777">
            <w:pPr>
              <w:keepNext/>
              <w:keepLines/>
              <w:spacing w:after="0" w:line="252" w:lineRule="auto"/>
              <w:jc w:val="left"/>
            </w:pPr>
            <w:r>
              <w:rPr>
                <w:sz w:val="18"/>
              </w:rPr>
              <w:t>AIPW</w:t>
            </w:r>
          </w:p>
        </w:tc>
        <w:tc>
          <w:tcPr>
            <w:tcW w:w="2240" w:type="dxa"/>
            <w:shd w:val="clear" w:color="auto" w:fill="F7F7F7"/>
            <w:tcMar>
              <w:top w:w="90" w:type="dxa"/>
              <w:left w:w="120" w:type="dxa"/>
              <w:bottom w:w="90" w:type="dxa"/>
              <w:right w:w="120" w:type="dxa"/>
            </w:tcMar>
            <w:vAlign w:val="center"/>
          </w:tcPr>
          <w:p w14:paraId="15791ABF" w14:textId="77777777">
            <w:pPr>
              <w:keepNext/>
              <w:keepLines/>
              <w:spacing w:after="0" w:line="252" w:lineRule="auto"/>
              <w:jc w:val="right"/>
            </w:pPr>
            <w:r>
              <w:rPr>
                <w:sz w:val="18"/>
              </w:rPr>
              <w:t>1,506</w:t>
            </w:r>
          </w:p>
        </w:tc>
        <w:tc>
          <w:tcPr>
            <w:tcW w:w="2060" w:type="dxa"/>
            <w:shd w:val="clear" w:color="auto" w:fill="F7F7F7"/>
            <w:tcMar>
              <w:top w:w="90" w:type="dxa"/>
              <w:left w:w="120" w:type="dxa"/>
              <w:bottom w:w="90" w:type="dxa"/>
              <w:right w:w="120" w:type="dxa"/>
            </w:tcMar>
            <w:vAlign w:val="center"/>
          </w:tcPr>
          <w:p w14:paraId="6203D98A" w14:textId="77777777">
            <w:pPr>
              <w:keepNext/>
              <w:keepLines/>
              <w:spacing w:after="0" w:line="252" w:lineRule="auto"/>
              <w:jc w:val="right"/>
            </w:pPr>
            <w:r>
              <w:rPr>
                <w:sz w:val="18"/>
              </w:rPr>
              <w:t>-0,176</w:t>
            </w:r>
          </w:p>
        </w:tc>
        <w:tc>
          <w:tcPr>
            <w:tcW w:w="2060" w:type="dxa"/>
            <w:shd w:val="clear" w:color="auto" w:fill="F7F7F7"/>
            <w:tcMar>
              <w:top w:w="90" w:type="dxa"/>
              <w:left w:w="120" w:type="dxa"/>
              <w:bottom w:w="90" w:type="dxa"/>
              <w:right w:w="120" w:type="dxa"/>
            </w:tcMar>
            <w:vAlign w:val="center"/>
          </w:tcPr>
          <w:p w14:paraId="48BD8043" w14:textId="77777777">
            <w:pPr>
              <w:keepNext/>
              <w:keepLines/>
              <w:spacing w:after="0" w:line="252" w:lineRule="auto"/>
              <w:jc w:val="right"/>
            </w:pPr>
            <w:r>
              <w:rPr>
                <w:sz w:val="18"/>
              </w:rPr>
              <w:t>3,188</w:t>
            </w:r>
          </w:p>
        </w:tc>
      </w:tr>
    </w:tbl>
    <w:p w14:paraId="5E7A33E1" w14:textId="77777777">
      <w:pPr>
        <w:pStyle w:val="Source"/>
      </w:pPr>
      <w:r>
        <w:t>Source : résultats produits par le notebook final.</w:t>
      </w:r>
    </w:p>
    <w:p w14:paraId="112523F8" w14:textId="77777777">
      <w:pPr>
        <w:keepNext/>
        <w:keepLines/>
        <w:spacing w:before="100" w:after="40"/>
        <w:jc w:val="center"/>
      </w:pPr>
      <w:r>
        <w:rPr>
          <w:noProof/>
        </w:rPr>
        <w:drawing>
          <wp:inline distT="0" distB="0" distL="0" distR="0" wp14:anchorId="2049C9F2" wp14:editId="49D50934">
            <wp:extent cx="5440680" cy="2815398"/>
            <wp:effectExtent l="0" t="0" r="0" b="0"/>
            <wp:docPr id="6" name="Picture 6" descr="Graphique en points avec intervalles pour l'association brute, la standardisation, l'IPW et l'AIPW." title="Figure 6. Association brute et estimations ajust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stimations_principales.png"/>
                    <pic:cNvPicPr/>
                  </pic:nvPicPr>
                  <pic:blipFill>
                    <a:blip r:embed="rId17"/>
                    <a:srcRect t="6500"/>
                    <a:stretch>
                      <a:fillRect/>
                    </a:stretch>
                  </pic:blipFill>
                  <pic:spPr>
                    <a:xfrm>
                      <a:off x="0" y="0"/>
                      <a:ext cx="5440680" cy="2815398"/>
                    </a:xfrm>
                    <a:prstGeom prst="rect">
                      <a:avLst/>
                    </a:prstGeom>
                  </pic:spPr>
                </pic:pic>
              </a:graphicData>
            </a:graphic>
          </wp:inline>
        </w:drawing>
      </w:r>
    </w:p>
    <w:p w14:paraId="58E1A3C7" w14:textId="77777777">
      <w:pPr>
        <w:pStyle w:val="Caption"/>
      </w:pPr>
      <w:r>
        <w:t>Figure 6. Association brute et estimations ajustées</w:t>
      </w:r>
    </w:p>
    <w:p w14:paraId="6354FC75" w14:textId="77777777">
      <w:pPr>
        <w:pStyle w:val="Source"/>
      </w:pPr>
      <w:r>
        <w:t>Source : notebook final; les segments représentent les intervalles à 95 %.</w:t>
      </w:r>
    </w:p>
    <w:p w14:paraId="4E65F550" w14:textId="77777777">
      <w:r>
        <w:t>Les trois méthodes ajustées donnent des points estimés proches, de +1,384 à +1,506 point. L'AIPW estime une probabilité moyenne de 17,67 % sous weekend et de 16,16 % sous semaine, soit +1,506 point. Son intervalle à 95 % [-0,176 ; 3,188] contient zéro. La cohérence des points estimés est rassurante sur la stabilité numérique, mais elle ne permet pas d'écarter l'absence d'effet moyen.</w:t>
      </w:r>
    </w:p>
    <w:p w14:paraId="3880CB9D" w14:textId="77777777">
      <w:pPr>
        <w:pStyle w:val="Heading2"/>
      </w:pPr>
      <w:r>
        <w:t>7.2 Signification pratique</w:t>
      </w:r>
    </w:p>
    <w:p w14:paraId="40101FCD" w14:textId="77777777">
      <w:r>
        <w:t>Sous toutes les hypothèses causales, +1,51 point correspondrait à environ 15 transactions supplémentaires pour 1 000 sessions comparables déplacées vers le weekend. L'intervalle principal correspond approximativement à -2 à +32 transactions pour 1 000 sessions. Le rapport de risques estimé est 1,093, soit environ 9,3 % de plus relativement au risque potentiel sous semaine. Ces conversions concernent un nombre fixe de sessions existantes; elles ne prédisent pas un gain de trafic ou de chiffre d'affaires.</w:t>
      </w:r>
    </w:p>
    <w:p w14:paraId="45A0C62D" w14:textId="77777777">
      <w:pPr>
        <w:pStyle w:val="Heading2"/>
      </w:pPr>
      <w:r>
        <w:lastRenderedPageBreak/>
        <w:t>7.3 Spécifications alternatives</w:t>
      </w:r>
    </w:p>
    <w:p w14:paraId="43DF89DC" w14:textId="77777777">
      <w:pPr>
        <w:pStyle w:val="TableCaption"/>
      </w:pPr>
      <w:r>
        <w:t>Tableau 10. Analyses de sensibilité de l'AIPW</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4600"/>
        <w:gridCol w:w="1100"/>
        <w:gridCol w:w="1400"/>
        <w:gridCol w:w="2260"/>
      </w:tblGrid>
      <w:tr w14:paraId="769611A3" w14:textId="77777777">
        <w:trPr>
          <w:cantSplit/>
          <w:tblHeader/>
        </w:trPr>
        <w:tc>
          <w:tcPr>
            <w:tcW w:w="4600" w:type="dxa"/>
            <w:shd w:val="clear" w:color="auto" w:fill="E7E6E6"/>
            <w:tcMar>
              <w:top w:w="90" w:type="dxa"/>
              <w:left w:w="120" w:type="dxa"/>
              <w:bottom w:w="90" w:type="dxa"/>
              <w:right w:w="120" w:type="dxa"/>
            </w:tcMar>
            <w:vAlign w:val="center"/>
          </w:tcPr>
          <w:p w14:paraId="71B88AC5" w14:textId="77777777">
            <w:pPr>
              <w:keepNext/>
              <w:keepLines/>
              <w:spacing w:after="0" w:line="252" w:lineRule="auto"/>
              <w:jc w:val="left"/>
            </w:pPr>
            <w:r>
              <w:rPr>
                <w:b/>
                <w:sz w:val="17"/>
              </w:rPr>
              <w:t>Scénario</w:t>
            </w:r>
          </w:p>
        </w:tc>
        <w:tc>
          <w:tcPr>
            <w:tcW w:w="1100" w:type="dxa"/>
            <w:shd w:val="clear" w:color="auto" w:fill="E7E6E6"/>
            <w:tcMar>
              <w:top w:w="90" w:type="dxa"/>
              <w:left w:w="120" w:type="dxa"/>
              <w:bottom w:w="90" w:type="dxa"/>
              <w:right w:w="120" w:type="dxa"/>
            </w:tcMar>
            <w:vAlign w:val="center"/>
          </w:tcPr>
          <w:p w14:paraId="4FB09D34" w14:textId="77777777">
            <w:pPr>
              <w:keepNext/>
              <w:keepLines/>
              <w:spacing w:after="0" w:line="252" w:lineRule="auto"/>
              <w:jc w:val="right"/>
            </w:pPr>
            <w:r>
              <w:rPr>
                <w:b/>
                <w:sz w:val="17"/>
              </w:rPr>
              <w:t>N</w:t>
            </w:r>
          </w:p>
        </w:tc>
        <w:tc>
          <w:tcPr>
            <w:tcW w:w="1400" w:type="dxa"/>
            <w:shd w:val="clear" w:color="auto" w:fill="E7E6E6"/>
            <w:tcMar>
              <w:top w:w="90" w:type="dxa"/>
              <w:left w:w="120" w:type="dxa"/>
              <w:bottom w:w="90" w:type="dxa"/>
              <w:right w:w="120" w:type="dxa"/>
            </w:tcMar>
            <w:vAlign w:val="center"/>
          </w:tcPr>
          <w:p w14:paraId="458BB49F" w14:textId="77777777">
            <w:pPr>
              <w:keepNext/>
              <w:keepLines/>
              <w:spacing w:after="0" w:line="252" w:lineRule="auto"/>
              <w:jc w:val="right"/>
            </w:pPr>
            <w:r>
              <w:rPr>
                <w:b/>
                <w:sz w:val="17"/>
              </w:rPr>
              <w:t>Estimation</w:t>
            </w:r>
          </w:p>
        </w:tc>
        <w:tc>
          <w:tcPr>
            <w:tcW w:w="2260" w:type="dxa"/>
            <w:shd w:val="clear" w:color="auto" w:fill="E7E6E6"/>
            <w:tcMar>
              <w:top w:w="90" w:type="dxa"/>
              <w:left w:w="120" w:type="dxa"/>
              <w:bottom w:w="90" w:type="dxa"/>
              <w:right w:w="120" w:type="dxa"/>
            </w:tcMar>
            <w:vAlign w:val="center"/>
          </w:tcPr>
          <w:p w14:paraId="1B9D24B6" w14:textId="77777777">
            <w:pPr>
              <w:keepNext/>
              <w:keepLines/>
              <w:spacing w:after="0" w:line="252" w:lineRule="auto"/>
              <w:jc w:val="right"/>
            </w:pPr>
            <w:r>
              <w:rPr>
                <w:b/>
                <w:sz w:val="17"/>
              </w:rPr>
              <w:t>IC à 95 %</w:t>
            </w:r>
          </w:p>
        </w:tc>
      </w:tr>
      <w:tr w14:paraId="616AB18F" w14:textId="77777777">
        <w:trPr>
          <w:cantSplit/>
        </w:trPr>
        <w:tc>
          <w:tcPr>
            <w:tcW w:w="4600" w:type="dxa"/>
            <w:tcMar>
              <w:top w:w="90" w:type="dxa"/>
              <w:left w:w="120" w:type="dxa"/>
              <w:bottom w:w="90" w:type="dxa"/>
              <w:right w:w="120" w:type="dxa"/>
            </w:tcMar>
            <w:vAlign w:val="center"/>
          </w:tcPr>
          <w:p w14:paraId="762F8AE7" w14:textId="77777777">
            <w:pPr>
              <w:keepNext/>
              <w:keepLines/>
              <w:spacing w:after="0" w:line="252" w:lineRule="auto"/>
              <w:jc w:val="left"/>
            </w:pPr>
            <w:r>
              <w:rPr>
                <w:sz w:val="17"/>
              </w:rPr>
              <w:t>Principale : SpecialDay=0, avec trafic</w:t>
            </w:r>
          </w:p>
        </w:tc>
        <w:tc>
          <w:tcPr>
            <w:tcW w:w="1100" w:type="dxa"/>
            <w:tcMar>
              <w:top w:w="90" w:type="dxa"/>
              <w:left w:w="120" w:type="dxa"/>
              <w:bottom w:w="90" w:type="dxa"/>
              <w:right w:w="120" w:type="dxa"/>
            </w:tcMar>
            <w:vAlign w:val="center"/>
          </w:tcPr>
          <w:p w14:paraId="18F0C751" w14:textId="77777777">
            <w:pPr>
              <w:keepNext/>
              <w:keepLines/>
              <w:spacing w:after="0" w:line="252" w:lineRule="auto"/>
              <w:jc w:val="right"/>
            </w:pPr>
            <w:r>
              <w:rPr>
                <w:sz w:val="17"/>
              </w:rPr>
              <w:t>11 079</w:t>
            </w:r>
          </w:p>
        </w:tc>
        <w:tc>
          <w:tcPr>
            <w:tcW w:w="1400" w:type="dxa"/>
            <w:tcMar>
              <w:top w:w="90" w:type="dxa"/>
              <w:left w:w="120" w:type="dxa"/>
              <w:bottom w:w="90" w:type="dxa"/>
              <w:right w:w="120" w:type="dxa"/>
            </w:tcMar>
            <w:vAlign w:val="center"/>
          </w:tcPr>
          <w:p w14:paraId="681B2A97" w14:textId="77777777">
            <w:pPr>
              <w:keepNext/>
              <w:keepLines/>
              <w:spacing w:after="0" w:line="252" w:lineRule="auto"/>
              <w:jc w:val="right"/>
            </w:pPr>
            <w:r>
              <w:rPr>
                <w:sz w:val="17"/>
              </w:rPr>
              <w:t>1,506</w:t>
            </w:r>
          </w:p>
        </w:tc>
        <w:tc>
          <w:tcPr>
            <w:tcW w:w="2260" w:type="dxa"/>
            <w:tcMar>
              <w:top w:w="90" w:type="dxa"/>
              <w:left w:w="120" w:type="dxa"/>
              <w:bottom w:w="90" w:type="dxa"/>
              <w:right w:w="120" w:type="dxa"/>
            </w:tcMar>
            <w:vAlign w:val="center"/>
          </w:tcPr>
          <w:p w14:paraId="753DDD96" w14:textId="77777777">
            <w:pPr>
              <w:keepNext/>
              <w:keepLines/>
              <w:spacing w:after="0" w:line="252" w:lineRule="auto"/>
              <w:jc w:val="right"/>
            </w:pPr>
            <w:r>
              <w:rPr>
                <w:sz w:val="17"/>
              </w:rPr>
              <w:t>[-0,176 ; 3,188]</w:t>
            </w:r>
          </w:p>
        </w:tc>
      </w:tr>
      <w:tr w14:paraId="3FDB70CE" w14:textId="77777777">
        <w:trPr>
          <w:cantSplit/>
        </w:trPr>
        <w:tc>
          <w:tcPr>
            <w:tcW w:w="4600" w:type="dxa"/>
            <w:shd w:val="clear" w:color="auto" w:fill="F7F7F7"/>
            <w:tcMar>
              <w:top w:w="90" w:type="dxa"/>
              <w:left w:w="120" w:type="dxa"/>
              <w:bottom w:w="90" w:type="dxa"/>
              <w:right w:w="120" w:type="dxa"/>
            </w:tcMar>
            <w:vAlign w:val="center"/>
          </w:tcPr>
          <w:p w14:paraId="552AB4B5" w14:textId="77777777">
            <w:pPr>
              <w:keepNext/>
              <w:keepLines/>
              <w:spacing w:after="0" w:line="252" w:lineRule="auto"/>
              <w:jc w:val="left"/>
            </w:pPr>
            <w:r>
              <w:rPr>
                <w:sz w:val="17"/>
              </w:rPr>
              <w:t>Sans TrafficType</w:t>
            </w:r>
          </w:p>
        </w:tc>
        <w:tc>
          <w:tcPr>
            <w:tcW w:w="1100" w:type="dxa"/>
            <w:shd w:val="clear" w:color="auto" w:fill="F7F7F7"/>
            <w:tcMar>
              <w:top w:w="90" w:type="dxa"/>
              <w:left w:w="120" w:type="dxa"/>
              <w:bottom w:w="90" w:type="dxa"/>
              <w:right w:w="120" w:type="dxa"/>
            </w:tcMar>
            <w:vAlign w:val="center"/>
          </w:tcPr>
          <w:p w14:paraId="626363F6" w14:textId="77777777">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19FEB6E7" w14:textId="77777777">
            <w:pPr>
              <w:keepNext/>
              <w:keepLines/>
              <w:spacing w:after="0" w:line="252" w:lineRule="auto"/>
              <w:jc w:val="right"/>
            </w:pPr>
            <w:r>
              <w:rPr>
                <w:sz w:val="17"/>
              </w:rPr>
              <w:t>2,233</w:t>
            </w:r>
          </w:p>
        </w:tc>
        <w:tc>
          <w:tcPr>
            <w:tcW w:w="2260" w:type="dxa"/>
            <w:shd w:val="clear" w:color="auto" w:fill="F7F7F7"/>
            <w:tcMar>
              <w:top w:w="90" w:type="dxa"/>
              <w:left w:w="120" w:type="dxa"/>
              <w:bottom w:w="90" w:type="dxa"/>
              <w:right w:w="120" w:type="dxa"/>
            </w:tcMar>
            <w:vAlign w:val="center"/>
          </w:tcPr>
          <w:p w14:paraId="5BBB69EC" w14:textId="77777777">
            <w:pPr>
              <w:keepNext/>
              <w:keepLines/>
              <w:spacing w:after="0" w:line="252" w:lineRule="auto"/>
              <w:jc w:val="right"/>
            </w:pPr>
            <w:r>
              <w:rPr>
                <w:sz w:val="17"/>
              </w:rPr>
              <w:t>[0,535 ; 3,931]</w:t>
            </w:r>
          </w:p>
        </w:tc>
      </w:tr>
      <w:tr w14:paraId="2E312DD6" w14:textId="77777777">
        <w:trPr>
          <w:cantSplit/>
        </w:trPr>
        <w:tc>
          <w:tcPr>
            <w:tcW w:w="4600" w:type="dxa"/>
            <w:tcMar>
              <w:top w:w="90" w:type="dxa"/>
              <w:left w:w="120" w:type="dxa"/>
              <w:bottom w:w="90" w:type="dxa"/>
              <w:right w:w="120" w:type="dxa"/>
            </w:tcMar>
            <w:vAlign w:val="center"/>
          </w:tcPr>
          <w:p w14:paraId="60836228" w14:textId="77777777">
            <w:pPr>
              <w:keepNext/>
              <w:keepLines/>
              <w:spacing w:after="0" w:line="252" w:lineRule="auto"/>
              <w:jc w:val="left"/>
            </w:pPr>
            <w:r>
              <w:rPr>
                <w:sz w:val="17"/>
              </w:rPr>
              <w:t>Population complète + indicateur jour spécial</w:t>
            </w:r>
          </w:p>
        </w:tc>
        <w:tc>
          <w:tcPr>
            <w:tcW w:w="1100" w:type="dxa"/>
            <w:tcMar>
              <w:top w:w="90" w:type="dxa"/>
              <w:left w:w="120" w:type="dxa"/>
              <w:bottom w:w="90" w:type="dxa"/>
              <w:right w:w="120" w:type="dxa"/>
            </w:tcMar>
            <w:vAlign w:val="center"/>
          </w:tcPr>
          <w:p w14:paraId="2B5971C6" w14:textId="77777777">
            <w:pPr>
              <w:keepNext/>
              <w:keepLines/>
              <w:spacing w:after="0" w:line="252" w:lineRule="auto"/>
              <w:jc w:val="right"/>
            </w:pPr>
            <w:r>
              <w:rPr>
                <w:sz w:val="17"/>
              </w:rPr>
              <w:t>12 330</w:t>
            </w:r>
          </w:p>
        </w:tc>
        <w:tc>
          <w:tcPr>
            <w:tcW w:w="1400" w:type="dxa"/>
            <w:tcMar>
              <w:top w:w="90" w:type="dxa"/>
              <w:left w:w="120" w:type="dxa"/>
              <w:bottom w:w="90" w:type="dxa"/>
              <w:right w:w="120" w:type="dxa"/>
            </w:tcMar>
            <w:vAlign w:val="center"/>
          </w:tcPr>
          <w:p w14:paraId="216E7938" w14:textId="77777777">
            <w:pPr>
              <w:keepNext/>
              <w:keepLines/>
              <w:spacing w:after="0" w:line="252" w:lineRule="auto"/>
              <w:jc w:val="right"/>
            </w:pPr>
            <w:r>
              <w:rPr>
                <w:sz w:val="17"/>
              </w:rPr>
              <w:t>1,193</w:t>
            </w:r>
          </w:p>
        </w:tc>
        <w:tc>
          <w:tcPr>
            <w:tcW w:w="2260" w:type="dxa"/>
            <w:tcMar>
              <w:top w:w="90" w:type="dxa"/>
              <w:left w:w="120" w:type="dxa"/>
              <w:bottom w:w="90" w:type="dxa"/>
              <w:right w:w="120" w:type="dxa"/>
            </w:tcMar>
            <w:vAlign w:val="center"/>
          </w:tcPr>
          <w:p w14:paraId="262D2D57" w14:textId="77777777">
            <w:pPr>
              <w:keepNext/>
              <w:keepLines/>
              <w:spacing w:after="0" w:line="252" w:lineRule="auto"/>
              <w:jc w:val="right"/>
            </w:pPr>
            <w:r>
              <w:rPr>
                <w:sz w:val="17"/>
              </w:rPr>
              <w:t>[-0,392 ; 2,778]</w:t>
            </w:r>
          </w:p>
        </w:tc>
      </w:tr>
      <w:tr w14:paraId="2AEBABCA" w14:textId="77777777">
        <w:trPr>
          <w:cantSplit/>
        </w:trPr>
        <w:tc>
          <w:tcPr>
            <w:tcW w:w="4600" w:type="dxa"/>
            <w:shd w:val="clear" w:color="auto" w:fill="F7F7F7"/>
            <w:tcMar>
              <w:top w:w="90" w:type="dxa"/>
              <w:left w:w="120" w:type="dxa"/>
              <w:bottom w:w="90" w:type="dxa"/>
              <w:right w:w="120" w:type="dxa"/>
            </w:tcMar>
            <w:vAlign w:val="center"/>
          </w:tcPr>
          <w:p w14:paraId="2FB82C4E" w14:textId="77777777">
            <w:pPr>
              <w:keepNext/>
              <w:keepLines/>
              <w:spacing w:after="0" w:line="252" w:lineRule="auto"/>
              <w:jc w:val="left"/>
            </w:pPr>
            <w:r>
              <w:rPr>
                <w:sz w:val="17"/>
              </w:rPr>
              <w:t>Sans doublons exacts</w:t>
            </w:r>
          </w:p>
        </w:tc>
        <w:tc>
          <w:tcPr>
            <w:tcW w:w="1100" w:type="dxa"/>
            <w:shd w:val="clear" w:color="auto" w:fill="F7F7F7"/>
            <w:tcMar>
              <w:top w:w="90" w:type="dxa"/>
              <w:left w:w="120" w:type="dxa"/>
              <w:bottom w:w="90" w:type="dxa"/>
              <w:right w:w="120" w:type="dxa"/>
            </w:tcMar>
            <w:vAlign w:val="center"/>
          </w:tcPr>
          <w:p w14:paraId="478883B4" w14:textId="77777777">
            <w:pPr>
              <w:keepNext/>
              <w:keepLines/>
              <w:spacing w:after="0" w:line="252" w:lineRule="auto"/>
              <w:jc w:val="right"/>
            </w:pPr>
            <w:r>
              <w:rPr>
                <w:sz w:val="17"/>
              </w:rPr>
              <w:t>10 956</w:t>
            </w:r>
          </w:p>
        </w:tc>
        <w:tc>
          <w:tcPr>
            <w:tcW w:w="1400" w:type="dxa"/>
            <w:shd w:val="clear" w:color="auto" w:fill="F7F7F7"/>
            <w:tcMar>
              <w:top w:w="90" w:type="dxa"/>
              <w:left w:w="120" w:type="dxa"/>
              <w:bottom w:w="90" w:type="dxa"/>
              <w:right w:w="120" w:type="dxa"/>
            </w:tcMar>
            <w:vAlign w:val="center"/>
          </w:tcPr>
          <w:p w14:paraId="5B316249" w14:textId="77777777">
            <w:pPr>
              <w:keepNext/>
              <w:keepLines/>
              <w:spacing w:after="0" w:line="252" w:lineRule="auto"/>
              <w:jc w:val="right"/>
            </w:pPr>
            <w:r>
              <w:rPr>
                <w:sz w:val="17"/>
              </w:rPr>
              <w:t>1,199</w:t>
            </w:r>
          </w:p>
        </w:tc>
        <w:tc>
          <w:tcPr>
            <w:tcW w:w="2260" w:type="dxa"/>
            <w:shd w:val="clear" w:color="auto" w:fill="F7F7F7"/>
            <w:tcMar>
              <w:top w:w="90" w:type="dxa"/>
              <w:left w:w="120" w:type="dxa"/>
              <w:bottom w:w="90" w:type="dxa"/>
              <w:right w:w="120" w:type="dxa"/>
            </w:tcMar>
            <w:vAlign w:val="center"/>
          </w:tcPr>
          <w:p w14:paraId="109478D1" w14:textId="77777777">
            <w:pPr>
              <w:keepNext/>
              <w:keepLines/>
              <w:spacing w:after="0" w:line="252" w:lineRule="auto"/>
              <w:jc w:val="right"/>
            </w:pPr>
            <w:r>
              <w:rPr>
                <w:sz w:val="17"/>
              </w:rPr>
              <w:t>[-0,484 ; 2,882]</w:t>
            </w:r>
          </w:p>
        </w:tc>
      </w:tr>
      <w:tr w14:paraId="10C87F66" w14:textId="77777777">
        <w:trPr>
          <w:cantSplit/>
        </w:trPr>
        <w:tc>
          <w:tcPr>
            <w:tcW w:w="4600" w:type="dxa"/>
            <w:tcMar>
              <w:top w:w="90" w:type="dxa"/>
              <w:left w:w="120" w:type="dxa"/>
              <w:bottom w:w="90" w:type="dxa"/>
              <w:right w:w="120" w:type="dxa"/>
            </w:tcMar>
            <w:vAlign w:val="center"/>
          </w:tcPr>
          <w:p w14:paraId="2E2A3143" w14:textId="77777777">
            <w:pPr>
              <w:keepNext/>
              <w:keepLines/>
              <w:spacing w:after="0" w:line="252" w:lineRule="auto"/>
              <w:jc w:val="left"/>
            </w:pPr>
            <w:r>
              <w:rPr>
                <w:sz w:val="17"/>
              </w:rPr>
              <w:t>Support commun [0,05 ; 0,95]</w:t>
            </w:r>
          </w:p>
        </w:tc>
        <w:tc>
          <w:tcPr>
            <w:tcW w:w="1100" w:type="dxa"/>
            <w:tcMar>
              <w:top w:w="90" w:type="dxa"/>
              <w:left w:w="120" w:type="dxa"/>
              <w:bottom w:w="90" w:type="dxa"/>
              <w:right w:w="120" w:type="dxa"/>
            </w:tcMar>
            <w:vAlign w:val="center"/>
          </w:tcPr>
          <w:p w14:paraId="23B098C1" w14:textId="77777777">
            <w:pPr>
              <w:keepNext/>
              <w:keepLines/>
              <w:spacing w:after="0" w:line="252" w:lineRule="auto"/>
              <w:jc w:val="right"/>
            </w:pPr>
            <w:r>
              <w:rPr>
                <w:sz w:val="17"/>
              </w:rPr>
              <w:t>11 070</w:t>
            </w:r>
          </w:p>
        </w:tc>
        <w:tc>
          <w:tcPr>
            <w:tcW w:w="1400" w:type="dxa"/>
            <w:tcMar>
              <w:top w:w="90" w:type="dxa"/>
              <w:left w:w="120" w:type="dxa"/>
              <w:bottom w:w="90" w:type="dxa"/>
              <w:right w:w="120" w:type="dxa"/>
            </w:tcMar>
            <w:vAlign w:val="center"/>
          </w:tcPr>
          <w:p w14:paraId="48E0ED8B" w14:textId="77777777">
            <w:pPr>
              <w:keepNext/>
              <w:keepLines/>
              <w:spacing w:after="0" w:line="252" w:lineRule="auto"/>
              <w:jc w:val="right"/>
            </w:pPr>
            <w:r>
              <w:rPr>
                <w:sz w:val="17"/>
              </w:rPr>
              <w:t>1,555</w:t>
            </w:r>
          </w:p>
        </w:tc>
        <w:tc>
          <w:tcPr>
            <w:tcW w:w="2260" w:type="dxa"/>
            <w:tcMar>
              <w:top w:w="90" w:type="dxa"/>
              <w:left w:w="120" w:type="dxa"/>
              <w:bottom w:w="90" w:type="dxa"/>
              <w:right w:w="120" w:type="dxa"/>
            </w:tcMar>
            <w:vAlign w:val="center"/>
          </w:tcPr>
          <w:p w14:paraId="7805C7A2" w14:textId="77777777">
            <w:pPr>
              <w:keepNext/>
              <w:keepLines/>
              <w:spacing w:after="0" w:line="252" w:lineRule="auto"/>
              <w:jc w:val="right"/>
            </w:pPr>
            <w:r>
              <w:rPr>
                <w:sz w:val="17"/>
              </w:rPr>
              <w:t>[-0,126 ; 3,235]</w:t>
            </w:r>
          </w:p>
        </w:tc>
      </w:tr>
      <w:tr w14:paraId="0428E2C9" w14:textId="77777777">
        <w:trPr>
          <w:cantSplit/>
        </w:trPr>
        <w:tc>
          <w:tcPr>
            <w:tcW w:w="4600" w:type="dxa"/>
            <w:shd w:val="clear" w:color="auto" w:fill="F7F7F7"/>
            <w:tcMar>
              <w:top w:w="90" w:type="dxa"/>
              <w:left w:w="120" w:type="dxa"/>
              <w:bottom w:w="90" w:type="dxa"/>
              <w:right w:w="120" w:type="dxa"/>
            </w:tcMar>
            <w:vAlign w:val="center"/>
          </w:tcPr>
          <w:p w14:paraId="76CC351B" w14:textId="77777777">
            <w:pPr>
              <w:keepNext/>
              <w:keepLines/>
              <w:spacing w:after="0" w:line="252" w:lineRule="auto"/>
              <w:jc w:val="left"/>
            </w:pPr>
            <w:r>
              <w:rPr>
                <w:sz w:val="17"/>
              </w:rPr>
              <w:t>Forêt aléatoire pour les nuisances</w:t>
            </w:r>
          </w:p>
        </w:tc>
        <w:tc>
          <w:tcPr>
            <w:tcW w:w="1100" w:type="dxa"/>
            <w:shd w:val="clear" w:color="auto" w:fill="F7F7F7"/>
            <w:tcMar>
              <w:top w:w="90" w:type="dxa"/>
              <w:left w:w="120" w:type="dxa"/>
              <w:bottom w:w="90" w:type="dxa"/>
              <w:right w:w="120" w:type="dxa"/>
            </w:tcMar>
            <w:vAlign w:val="center"/>
          </w:tcPr>
          <w:p w14:paraId="131E50D6" w14:textId="77777777">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0D0FD752" w14:textId="77777777">
            <w:pPr>
              <w:keepNext/>
              <w:keepLines/>
              <w:spacing w:after="0" w:line="252" w:lineRule="auto"/>
              <w:jc w:val="right"/>
            </w:pPr>
            <w:r>
              <w:rPr>
                <w:sz w:val="17"/>
              </w:rPr>
              <w:t>1,736</w:t>
            </w:r>
          </w:p>
        </w:tc>
        <w:tc>
          <w:tcPr>
            <w:tcW w:w="2260" w:type="dxa"/>
            <w:shd w:val="clear" w:color="auto" w:fill="F7F7F7"/>
            <w:tcMar>
              <w:top w:w="90" w:type="dxa"/>
              <w:left w:w="120" w:type="dxa"/>
              <w:bottom w:w="90" w:type="dxa"/>
              <w:right w:w="120" w:type="dxa"/>
            </w:tcMar>
            <w:vAlign w:val="center"/>
          </w:tcPr>
          <w:p w14:paraId="33C41365" w14:textId="77777777">
            <w:pPr>
              <w:keepNext/>
              <w:keepLines/>
              <w:spacing w:after="0" w:line="252" w:lineRule="auto"/>
              <w:jc w:val="right"/>
            </w:pPr>
            <w:r>
              <w:rPr>
                <w:sz w:val="17"/>
              </w:rPr>
              <w:t>[0,123 ; 3,348]</w:t>
            </w:r>
          </w:p>
        </w:tc>
      </w:tr>
    </w:tbl>
    <w:p w14:paraId="2F90EB5F" w14:textId="77777777">
      <w:pPr>
        <w:pStyle w:val="Source"/>
      </w:pPr>
      <w:r>
        <w:t>Source : analyses de robustesse exécutées dans le notebook final.</w:t>
      </w:r>
    </w:p>
    <w:p w14:paraId="65A277BF" w14:textId="77777777">
      <w:pPr>
        <w:keepNext/>
        <w:keepLines/>
        <w:spacing w:before="100" w:after="40"/>
        <w:jc w:val="center"/>
      </w:pPr>
      <w:r>
        <w:rPr>
          <w:noProof/>
        </w:rPr>
        <w:drawing>
          <wp:inline distT="0" distB="0" distL="0" distR="0" wp14:anchorId="0CCEE3E4" wp14:editId="780946B1">
            <wp:extent cx="5532120" cy="3163132"/>
            <wp:effectExtent l="0" t="0" r="0" b="0"/>
            <wp:docPr id="7" name="Picture 7" descr="Graphique en points des six analyses AIPW avec leurs intervalles à 95 %." title="Figure 7. Sensibilité de l'estimation A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obustesse_aipw.png"/>
                    <pic:cNvPicPr/>
                  </pic:nvPicPr>
                  <pic:blipFill>
                    <a:blip r:embed="rId18"/>
                    <a:srcRect t="5000"/>
                    <a:stretch>
                      <a:fillRect/>
                    </a:stretch>
                  </pic:blipFill>
                  <pic:spPr>
                    <a:xfrm>
                      <a:off x="0" y="0"/>
                      <a:ext cx="5532120" cy="3163132"/>
                    </a:xfrm>
                    <a:prstGeom prst="rect">
                      <a:avLst/>
                    </a:prstGeom>
                  </pic:spPr>
                </pic:pic>
              </a:graphicData>
            </a:graphic>
          </wp:inline>
        </w:drawing>
      </w:r>
    </w:p>
    <w:p w14:paraId="24D8CB3B" w14:textId="77777777">
      <w:pPr>
        <w:pStyle w:val="Caption"/>
      </w:pPr>
      <w:r>
        <w:t>Figure 7. Sensibilité de l'estimation AIPW</w:t>
      </w:r>
    </w:p>
    <w:p w14:paraId="2BF95F0A" w14:textId="77777777">
      <w:pPr>
        <w:pStyle w:val="Source"/>
      </w:pPr>
      <w:r>
        <w:t>Source : six spécifications de population, d'ajustement et de modèles de nuisance.</w:t>
      </w:r>
    </w:p>
    <w:p w14:paraId="18BFDCD9" w14:textId="77777777">
      <w:r>
        <w:t>Les estimations demeurent positives, de +1,193 à +2,233 points. Retirer TrafficType produit l'estimation la plus élevée, +2,233 [0,535 ; 3,931], ce qui montre que l'estimation est sensible à la manière dont son statut causal est défini. La forêt aléatoire donne +1,736 [0,123 ; 3,348]. Ces deux intervalles excluent zéro, mais il s'agit de spécifications alternatives : elles n'annulent ni l'incertitude de l'analyse principale ni la variabilité entre choix de modélisation.</w:t>
      </w:r>
    </w:p>
    <w:p w14:paraId="13883EFC" w14:textId="77777777">
      <w:r>
        <w:t>La population complète, le retrait des doublons et la restriction au support commun conduisent à la même conclusion prudente, avec des intervalles qui contiennent zéro. Aucun contrôle négatif ou placebo crédible n'est disponible dans cette base; l'absence d'une telle vérification est préférable à l'invention d'un contrôle dont les conditions causales seraient contestables.</w:t>
      </w:r>
    </w:p>
    <w:p w14:paraId="6CE50E54" w14:textId="77777777">
      <w:pPr>
        <w:pStyle w:val="Heading2"/>
      </w:pPr>
      <w:r>
        <w:lastRenderedPageBreak/>
        <w:t>7.4 Sensibilité à la confusion non mesurée</w:t>
      </w:r>
    </w:p>
    <w:p w14:paraId="2A63A2FB" w14:textId="77777777">
      <w:r>
        <w:t xml:space="preserve">Les moyennes AIPW donnent un rapport de risques de 1,093. L'E-value du point estimé vaut 1,412 : sous la logique de cette mesure, une cause non observée ayant des associations d'au moins 1,41 avec l'exposition et avec le résultat, sur l'échelle des rapports de risques et au-delà des covariables mesurées, pourrait suffire à ramener le point vers le nul [7]. L'E-value de la borne la plus proche du nul vaut 1,000 parce que l'intervalle principal contient déjà zéro. Cette valeur indique une robustesse limitée; </w:t>
      </w:r>
      <w:r>
        <w:t>elle ne mesure pas la probabilité qu'un confondeur existe et ne corrige pas l'estimation.</w:t>
      </w:r>
    </w:p>
    <w:p w14:paraId="4B703167" w14:textId="77777777">
      <w:pPr>
        <w:pStyle w:val="Heading1"/>
      </w:pPr>
      <w:bookmarkStart w:id="7" w:name="_Toc235024103"/>
      <w:r>
        <w:t>8. Discussion et limites</w:t>
      </w:r>
      <w:bookmarkEnd w:id="7"/>
    </w:p>
    <w:p w14:paraId="2A241B6E" w14:textId="77777777">
      <w:pPr>
        <w:pStyle w:val="Heading2"/>
      </w:pPr>
      <w:r>
        <w:t>8.1 Ce que les résultats permettent d'affirmer</w:t>
      </w:r>
    </w:p>
    <w:p w14:paraId="463D0ABA" w14:textId="77777777">
      <w:r>
        <w:t>Dans la population SpecialDay=0, les sessions de weekend présentent un taux de transaction plus élevé. Après ajustement sur les covariables pré-session mesurées, le contraste demeure positif et plus faible que l'association brute. Le bon recouvrement, la réduction des SMD et la proximité des estimateurs ne suggèrent pas que le résultat soit principalement entraîné par un petit nombre de poids extrêmes ou par un déséquilibre résiduel évident des variables mesurées.</w:t>
      </w:r>
    </w:p>
    <w:p w14:paraId="2ED14B27" w14:textId="77777777">
      <w:r>
        <w:t>La conclusion causale reste néanmoins faible. L'intervalle AIPW principal contient zéro et l'estimation varie selon le statut de TrafficType et le modèle de nuisance. La formulation la plus défendable est donc la suivante : les données sont compatibles avec un faible contraste positif du weekend sur la probabilité de transaction, mais elles ne permettent pas d'établir un effet causal moyen différent de zéro.</w:t>
      </w:r>
    </w:p>
    <w:p w14:paraId="2E3CD8E2" w14:textId="77777777">
      <w:pPr>
        <w:pStyle w:val="Heading2"/>
      </w:pPr>
      <w:r>
        <w:t>8.2 Menaces à la validité</w:t>
      </w:r>
    </w:p>
    <w:p w14:paraId="6F59150A" w14:textId="77777777">
      <w:pPr>
        <w:pStyle w:val="ListParagraph"/>
        <w:keepLines/>
        <w:numPr>
          <w:ilvl w:val="0"/>
          <w:numId w:val="12"/>
        </w:numPr>
        <w:jc w:val="left"/>
      </w:pPr>
      <w:r>
        <w:rPr>
          <w:b/>
        </w:rPr>
        <w:t xml:space="preserve">Intervention imparfaitement définie : </w:t>
      </w:r>
      <w:r>
        <w:t>Weekend résume plusieurs versions du traitement. Une session du samedi matin et une session du dimanche soir ne constituent pas nécessairement la même intervention.</w:t>
      </w:r>
    </w:p>
    <w:p w14:paraId="478910A7" w14:textId="77777777">
      <w:pPr>
        <w:pStyle w:val="ListParagraph"/>
        <w:keepLines/>
        <w:numPr>
          <w:ilvl w:val="0"/>
          <w:numId w:val="12"/>
        </w:numPr>
        <w:jc w:val="left"/>
      </w:pPr>
      <w:r>
        <w:rPr>
          <w:b/>
        </w:rPr>
        <w:t xml:space="preserve">Confusion non mesurée : </w:t>
      </w:r>
      <w:r>
        <w:t>prix, promotions, produits, campagnes, heure et intention d'achat préalable sont absents; ils peuvent expliquer une partie ou la totalité du contraste.</w:t>
      </w:r>
    </w:p>
    <w:p w14:paraId="70509F6C" w14:textId="77777777">
      <w:pPr>
        <w:pStyle w:val="ListParagraph"/>
        <w:keepLines/>
        <w:numPr>
          <w:ilvl w:val="0"/>
          <w:numId w:val="12"/>
        </w:numPr>
        <w:jc w:val="left"/>
      </w:pPr>
      <w:r>
        <w:rPr>
          <w:b/>
        </w:rPr>
        <w:t xml:space="preserve">Sélection sur les sessions : </w:t>
      </w:r>
      <w:r>
        <w:t>la base ne contient que des visites observées. Une politique de weekend peut aussi modifier la probabilité qu'une session existe, effet non estimé ici.</w:t>
      </w:r>
    </w:p>
    <w:p w14:paraId="6000DA62" w14:textId="77777777">
      <w:pPr>
        <w:pStyle w:val="ListParagraph"/>
        <w:keepLines/>
        <w:numPr>
          <w:ilvl w:val="0"/>
          <w:numId w:val="12"/>
        </w:numPr>
        <w:jc w:val="left"/>
      </w:pPr>
      <w:r>
        <w:rPr>
          <w:b/>
        </w:rPr>
        <w:t xml:space="preserve">Ordre causal ambigu : </w:t>
      </w:r>
      <w:r>
        <w:t>TrafficType peut être un confondeur, un médiateur ou un indicateur imparfait d'une campagne. La sensibilité à son retrait confirme cette incertitude.</w:t>
      </w:r>
    </w:p>
    <w:p w14:paraId="1BC6CE06" w14:textId="77777777">
      <w:pPr>
        <w:pStyle w:val="ListParagraph"/>
        <w:keepLines/>
        <w:numPr>
          <w:ilvl w:val="0"/>
          <w:numId w:val="12"/>
        </w:numPr>
        <w:jc w:val="left"/>
      </w:pPr>
      <w:r>
        <w:rPr>
          <w:b/>
        </w:rPr>
        <w:t xml:space="preserve">Mesure et connaissance du domaine : </w:t>
      </w:r>
      <w:r>
        <w:t>les catégories de région, de système, de navigateur et de trafic sont anonymes, ce qui limite la validation externe des mécanismes.</w:t>
      </w:r>
    </w:p>
    <w:p w14:paraId="34DA8FA7" w14:textId="77777777">
      <w:pPr>
        <w:pStyle w:val="ListParagraph"/>
        <w:keepLines/>
        <w:numPr>
          <w:ilvl w:val="0"/>
          <w:numId w:val="12"/>
        </w:numPr>
        <w:jc w:val="left"/>
      </w:pPr>
      <w:r>
        <w:rPr>
          <w:b/>
        </w:rPr>
        <w:t xml:space="preserve">Découverte causale : </w:t>
      </w:r>
      <w:r>
        <w:t>FCI dépend de la discrétisation, du test G², de la profondeur, des contraintes temporelles et des hypothèses de Markov et de fidélité.</w:t>
      </w:r>
    </w:p>
    <w:p w14:paraId="3FC5BA7B" w14:textId="77777777">
      <w:pPr>
        <w:pStyle w:val="ListParagraph"/>
        <w:keepLines/>
        <w:numPr>
          <w:ilvl w:val="0"/>
          <w:numId w:val="12"/>
        </w:numPr>
        <w:jc w:val="left"/>
      </w:pPr>
      <w:r>
        <w:rPr>
          <w:b/>
        </w:rPr>
        <w:t xml:space="preserve">Inférence statistique : </w:t>
      </w:r>
      <w:r>
        <w:t>le bootstrap et les fonctions d'influence quantifient l'incertitude d'échantillonnage, pas l'incertitude sur le DAG ou sur les variables absentes.</w:t>
      </w:r>
    </w:p>
    <w:p w14:paraId="1F8FDF18" w14:textId="77777777">
      <w:pPr>
        <w:pStyle w:val="ListParagraph"/>
        <w:keepLines/>
        <w:numPr>
          <w:ilvl w:val="0"/>
          <w:numId w:val="12"/>
        </w:numPr>
        <w:jc w:val="left"/>
      </w:pPr>
      <w:r>
        <w:rPr>
          <w:b/>
        </w:rPr>
        <w:lastRenderedPageBreak/>
        <w:t xml:space="preserve">Validité externe : </w:t>
      </w:r>
      <w:r>
        <w:t>le résultat s'applique au site et à l'année observés, pour des sessions hors jours spéciaux. Il ne se transpose pas automatiquement à d'autres plateformes ou périodes.</w:t>
      </w:r>
    </w:p>
    <w:p w14:paraId="6D6E7076" w14:textId="77777777">
      <w:pPr>
        <w:pStyle w:val="Heading2"/>
      </w:pPr>
      <w:r>
        <w:t>8.3 Prochaine étude recommandée</w:t>
      </w:r>
    </w:p>
    <w:p w14:paraId="40DD496A" w14:textId="77777777">
      <w:r>
        <w:t>Une étude plus crédible collecterait l'horodatage, les prix, les promotions, le produit, la campagne, l'appareil et des indicateurs d'intention mesurés avant la session. Une expérience pourrait randomiser un levier réellement manipulable lié au calendrier, par exemple l'heure d'envoi d'une campagne, tout en mesurant à la fois la probabilité de visite et la conversion. À défaut, un plan longitudinal avec effets de calendrier plus fins et contrôles négatifs préspécifiés permettrait de tester certaines menaces</w:t>
      </w:r>
      <w:r>
        <w:t xml:space="preserve"> sans prétendre les éliminer.</w:t>
      </w:r>
    </w:p>
    <w:p w14:paraId="04564CBD" w14:textId="77777777">
      <w:pPr>
        <w:pStyle w:val="Heading1"/>
      </w:pPr>
      <w:bookmarkStart w:id="8" w:name="_Toc235024104"/>
      <w:r>
        <w:t>9. Reproductibilité</w:t>
      </w:r>
      <w:bookmarkEnd w:id="8"/>
    </w:p>
    <w:p w14:paraId="7DCAB158" w14:textId="77777777">
      <w:r>
        <w:t>Le notebook final est exécuté de la première à la dernière cellule. Il vérifie l'empreinte du CSV avant toute analyse, fixe la graine 20260715, produit les prédictions croisées, exécute les 500 réplications du bootstrap et régénère les sept figures ainsi que les quatre tableaux CSV. Les versions logicielles validées sont fixées dans requirements.txt.</w:t>
      </w:r>
    </w:p>
    <w:p w14:paraId="64027022" w14:textId="77777777">
      <w:pPr>
        <w:pStyle w:val="ListParagraph"/>
        <w:keepLines/>
        <w:numPr>
          <w:ilvl w:val="0"/>
          <w:numId w:val="13"/>
        </w:numPr>
        <w:jc w:val="left"/>
      </w:pPr>
      <w:r>
        <w:t>Notebook exécuté : 01_notebooks/livrable/projet_final_inference_causale_online_shoppers.ipynb</w:t>
      </w:r>
    </w:p>
    <w:p w14:paraId="4C94A93C" w14:textId="77777777">
      <w:pPr>
        <w:pStyle w:val="ListParagraph"/>
        <w:keepLines/>
        <w:numPr>
          <w:ilvl w:val="0"/>
          <w:numId w:val="13"/>
        </w:numPr>
        <w:jc w:val="left"/>
      </w:pPr>
      <w:r>
        <w:t>Données : 02_data/raw/online_shoppers_intention.csv</w:t>
      </w:r>
    </w:p>
    <w:p w14:paraId="7E2D3750" w14:textId="77777777">
      <w:pPr>
        <w:pStyle w:val="ListParagraph"/>
        <w:keepLines/>
        <w:numPr>
          <w:ilvl w:val="0"/>
          <w:numId w:val="13"/>
        </w:numPr>
        <w:jc w:val="left"/>
      </w:pPr>
      <w:r>
        <w:t>Figures et tableaux : 04_outputs/figures/ et 04_outputs/tableaux/</w:t>
      </w:r>
    </w:p>
    <w:p w14:paraId="27AFF412" w14:textId="77777777">
      <w:pPr>
        <w:pStyle w:val="ListParagraph"/>
        <w:keepLines/>
        <w:numPr>
          <w:ilvl w:val="0"/>
          <w:numId w:val="13"/>
        </w:numPr>
        <w:jc w:val="left"/>
      </w:pPr>
      <w:r>
        <w:t>Export HTML : 04_outputs/notebook_html/projet_final_inference_causale_online_shoppers.html</w:t>
      </w:r>
    </w:p>
    <w:p w14:paraId="243321B2" w14:textId="77777777">
      <w:pPr>
        <w:pStyle w:val="ListParagraph"/>
        <w:keepLines/>
        <w:numPr>
          <w:ilvl w:val="0"/>
          <w:numId w:val="13"/>
        </w:numPr>
        <w:jc w:val="left"/>
      </w:pPr>
      <w:r>
        <w:t>Dépendances : requirements.txt; environnement validé sous Python 3.14.3.</w:t>
      </w:r>
    </w:p>
    <w:p w14:paraId="58A06442" w14:textId="77777777">
      <w:r>
        <w:t>Depuis la racine extraite, l'utilisateur installe les dépendances, puis lance l'exécution non interactive indiquée dans le README. Les chemins sont relatifs afin que le notebook retrouve les données et réécrive ses sorties dans la structure livrée.</w:t>
      </w:r>
    </w:p>
    <w:p w14:paraId="1C331377" w14:textId="77777777">
      <w:pPr>
        <w:pStyle w:val="Heading1"/>
      </w:pPr>
      <w:bookmarkStart w:id="9" w:name="_Toc235024105"/>
      <w:r>
        <w:t>10. Conclusion</w:t>
      </w:r>
      <w:bookmarkEnd w:id="9"/>
    </w:p>
    <w:p w14:paraId="6E7E8DC0" w14:textId="77777777">
      <w:r>
        <w:t>Le projet a formulé une question causale précise, défini une exposition, un résultat, une population et un estimand, puis relié un DAG de domaine, une exploration FCI, une stratégie de porte arrière et quatre estimations. L'association brute est de +2,03 points dans la population retenue. L'AIPW donne +1,51 point, avec un IC à 95 % de [-0,18 ; 3,19].</w:t>
      </w:r>
    </w:p>
    <w:p w14:paraId="0810F092" w14:textId="77777777">
      <w:pPr>
        <w:keepLines/>
      </w:pPr>
      <w:r>
        <w:lastRenderedPageBreak/>
        <w:t xml:space="preserve">Les diagnostics sont favorables pour les covariables mesurées dans la population restreinte, mais ils ne résolvent pas la confusion non observée et l'intervalle principal contient zéro. Il n'est donc pas justifié d'affirmer que le weekend cause une hausse des transactions. Le résultat utile est plus modeste : sous les hypothèses explicitées, un petit contraste positif est plausible, et l'analyse montre précisément quelles données et quel plan d'étude seraient nécessaires pour transformer cette hypothèse en </w:t>
      </w:r>
      <w:r>
        <w:t>conclusion plus solide.</w:t>
      </w:r>
    </w:p>
    <w:p w14:paraId="0CE9C139" w14:textId="77777777">
      <w:pPr>
        <w:pStyle w:val="Heading1"/>
      </w:pPr>
      <w:bookmarkStart w:id="10" w:name="_Toc235024106"/>
      <w:r>
        <w:t>Références</w:t>
      </w:r>
      <w:bookmarkEnd w:id="10"/>
    </w:p>
    <w:p w14:paraId="7EA65350" w14:textId="77777777">
      <w:pPr>
        <w:pStyle w:val="ListParagraph"/>
        <w:keepLines/>
        <w:numPr>
          <w:ilvl w:val="0"/>
          <w:numId w:val="14"/>
        </w:numPr>
        <w:jc w:val="left"/>
      </w:pPr>
      <w:r>
        <w:t>Sakar, C. et Kastro, Y. (2018). Online Shoppers Purchasing Intention Dataset. UCI Machine Learning Repository. DOI : 10.24432/C5F88Q.</w:t>
      </w:r>
    </w:p>
    <w:p w14:paraId="4DD71953" w14:textId="77777777">
      <w:pPr>
        <w:pStyle w:val="ListParagraph"/>
        <w:keepLines/>
        <w:numPr>
          <w:ilvl w:val="0"/>
          <w:numId w:val="14"/>
        </w:numPr>
        <w:jc w:val="left"/>
      </w:pPr>
      <w:r>
        <w:t>Sakar, C. O., Polat, S. O., Katircioglu, M. et Kastro, Y. (2019). Real-time prediction of online shoppers' purchasing intention using multilayer perceptron and LSTM recurrent neural networks. Neural Computing and Applications, 31, 6893-6908.</w:t>
      </w:r>
    </w:p>
    <w:p w14:paraId="4FF36955" w14:textId="77777777">
      <w:pPr>
        <w:pStyle w:val="ListParagraph"/>
        <w:keepLines/>
        <w:numPr>
          <w:ilvl w:val="0"/>
          <w:numId w:val="14"/>
        </w:numPr>
        <w:jc w:val="left"/>
      </w:pPr>
      <w:r>
        <w:t>Pearl, J. (2009). Causality: Models, Reasoning, and Inference (2e éd.). Cambridge University Press.</w:t>
      </w:r>
    </w:p>
    <w:p w14:paraId="481CB619" w14:textId="77777777">
      <w:pPr>
        <w:pStyle w:val="ListParagraph"/>
        <w:keepLines/>
        <w:numPr>
          <w:ilvl w:val="0"/>
          <w:numId w:val="14"/>
        </w:numPr>
        <w:jc w:val="left"/>
      </w:pPr>
      <w:r>
        <w:t>Rosenbaum, P. R. et Rubin, D. B. (1983). The central role of the propensity score in observational studies for causal effects. Biometrika, 70(1), 41-55.</w:t>
      </w:r>
    </w:p>
    <w:p w14:paraId="1082BD38" w14:textId="77777777">
      <w:pPr>
        <w:pStyle w:val="ListParagraph"/>
        <w:keepLines/>
        <w:numPr>
          <w:ilvl w:val="0"/>
          <w:numId w:val="14"/>
        </w:numPr>
        <w:jc w:val="left"/>
      </w:pPr>
      <w:r>
        <w:t>Spirtes, P., Glymour, C. et Scheines, R. (2000). Causation, Prediction, and Search (2e éd.). MIT Press.</w:t>
      </w:r>
    </w:p>
    <w:p w14:paraId="02A1C28C" w14:textId="77777777">
      <w:pPr>
        <w:pStyle w:val="ListParagraph"/>
        <w:keepLines/>
        <w:numPr>
          <w:ilvl w:val="0"/>
          <w:numId w:val="14"/>
        </w:numPr>
        <w:jc w:val="left"/>
      </w:pPr>
      <w:r>
        <w:t>Bang, H. et Robins, J. M. (2005). Doubly robust estimation in missing data and causal inference models. Biometrics, 61(4), 962-973.</w:t>
      </w:r>
    </w:p>
    <w:p w14:paraId="12B126FD" w14:textId="77777777">
      <w:pPr>
        <w:pStyle w:val="ListParagraph"/>
        <w:keepLines/>
        <w:numPr>
          <w:ilvl w:val="0"/>
          <w:numId w:val="14"/>
        </w:numPr>
        <w:jc w:val="left"/>
      </w:pPr>
      <w:r>
        <w:t>VanderWeele, T. J. et Ding, P. (2017). Sensitivity analysis in observational research: introducing the E-value. Annals of Internal Medicine, 167(4), 268-274.</w:t>
      </w:r>
    </w:p>
    <w:p w14:paraId="31317F3F" w14:textId="77777777">
      <w:pPr>
        <w:pStyle w:val="Heading1"/>
        <w:pageBreakBefore/>
      </w:pPr>
      <w:bookmarkStart w:id="11" w:name="_Toc235024107"/>
      <w:r>
        <w:lastRenderedPageBreak/>
        <w:t>Annexe A. Arêtes du PAG FCI</w:t>
      </w:r>
      <w:bookmarkEnd w:id="11"/>
    </w:p>
    <w:p w14:paraId="52EB5B5E" w14:textId="77777777">
      <w:r>
        <w:t>Le tableau A1 reproduit l'ensemble des 13 arêtes du PAG au seuil principal α = 0,01. Le symbole o—o indique une orientation indéterminée; o→ une orientation partielle; → une direction compatible avec les contraintes et les indépendances détectées.</w:t>
      </w:r>
    </w:p>
    <w:p w14:paraId="2A1D09EE" w14:textId="77777777">
      <w:pPr>
        <w:pStyle w:val="TableCaption"/>
      </w:pPr>
      <w:r>
        <w:t>Tableau A1. Liste complète des arêtes du PAG au seuil α = 0,01</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9360"/>
      </w:tblGrid>
      <w:tr w14:paraId="62C4EE8E" w14:textId="77777777">
        <w:trPr>
          <w:cantSplit/>
          <w:tblHeader/>
        </w:trPr>
        <w:tc>
          <w:tcPr>
            <w:tcW w:w="9360" w:type="dxa"/>
            <w:shd w:val="clear" w:color="auto" w:fill="E7E6E6"/>
            <w:tcMar>
              <w:top w:w="90" w:type="dxa"/>
              <w:left w:w="120" w:type="dxa"/>
              <w:bottom w:w="90" w:type="dxa"/>
              <w:right w:w="120" w:type="dxa"/>
            </w:tcMar>
            <w:vAlign w:val="center"/>
          </w:tcPr>
          <w:p w14:paraId="3712AEB4" w14:textId="77777777">
            <w:pPr>
              <w:keepNext/>
              <w:keepLines/>
              <w:spacing w:after="0" w:line="252" w:lineRule="auto"/>
              <w:jc w:val="left"/>
            </w:pPr>
            <w:r>
              <w:rPr>
                <w:b/>
                <w:sz w:val="18"/>
              </w:rPr>
              <w:t>Arête du PAG</w:t>
            </w:r>
          </w:p>
        </w:tc>
      </w:tr>
      <w:tr w14:paraId="0A731A20" w14:textId="77777777">
        <w:trPr>
          <w:cantSplit/>
        </w:trPr>
        <w:tc>
          <w:tcPr>
            <w:tcW w:w="9360" w:type="dxa"/>
            <w:tcMar>
              <w:top w:w="90" w:type="dxa"/>
              <w:left w:w="120" w:type="dxa"/>
              <w:bottom w:w="90" w:type="dxa"/>
              <w:right w:w="120" w:type="dxa"/>
            </w:tcMar>
            <w:vAlign w:val="center"/>
          </w:tcPr>
          <w:p w14:paraId="38009C25" w14:textId="77777777">
            <w:pPr>
              <w:keepLines/>
              <w:spacing w:after="0" w:line="252" w:lineRule="auto"/>
              <w:jc w:val="left"/>
            </w:pPr>
            <w:r>
              <w:rPr>
                <w:sz w:val="18"/>
              </w:rPr>
              <w:t>Periode o—o JourSpecial</w:t>
            </w:r>
          </w:p>
        </w:tc>
      </w:tr>
      <w:tr w14:paraId="1F1C1581" w14:textId="77777777">
        <w:trPr>
          <w:cantSplit/>
        </w:trPr>
        <w:tc>
          <w:tcPr>
            <w:tcW w:w="9360" w:type="dxa"/>
            <w:shd w:val="clear" w:color="auto" w:fill="F7F7F7"/>
            <w:tcMar>
              <w:top w:w="90" w:type="dxa"/>
              <w:left w:w="120" w:type="dxa"/>
              <w:bottom w:w="90" w:type="dxa"/>
              <w:right w:w="120" w:type="dxa"/>
            </w:tcMar>
            <w:vAlign w:val="center"/>
          </w:tcPr>
          <w:p w14:paraId="7CBDF990" w14:textId="77777777">
            <w:pPr>
              <w:keepLines/>
              <w:spacing w:after="0" w:line="252" w:lineRule="auto"/>
              <w:jc w:val="left"/>
            </w:pPr>
            <w:r>
              <w:rPr>
                <w:sz w:val="18"/>
              </w:rPr>
              <w:t>Periode o—o NouveauVisiteur</w:t>
            </w:r>
          </w:p>
        </w:tc>
      </w:tr>
      <w:tr w14:paraId="0F5F87E5" w14:textId="77777777">
        <w:trPr>
          <w:cantSplit/>
        </w:trPr>
        <w:tc>
          <w:tcPr>
            <w:tcW w:w="9360" w:type="dxa"/>
            <w:tcMar>
              <w:top w:w="90" w:type="dxa"/>
              <w:left w:w="120" w:type="dxa"/>
              <w:bottom w:w="90" w:type="dxa"/>
              <w:right w:w="120" w:type="dxa"/>
            </w:tcMar>
            <w:vAlign w:val="center"/>
          </w:tcPr>
          <w:p w14:paraId="1371CA03" w14:textId="77777777">
            <w:pPr>
              <w:keepLines/>
              <w:spacing w:after="0" w:line="252" w:lineRule="auto"/>
              <w:jc w:val="left"/>
            </w:pPr>
            <w:r>
              <w:rPr>
                <w:sz w:val="18"/>
              </w:rPr>
              <w:t>Periode → SourceTrafic</w:t>
            </w:r>
          </w:p>
        </w:tc>
      </w:tr>
      <w:tr w14:paraId="485F1AB5" w14:textId="77777777">
        <w:trPr>
          <w:cantSplit/>
        </w:trPr>
        <w:tc>
          <w:tcPr>
            <w:tcW w:w="9360" w:type="dxa"/>
            <w:shd w:val="clear" w:color="auto" w:fill="F7F7F7"/>
            <w:tcMar>
              <w:top w:w="90" w:type="dxa"/>
              <w:left w:w="120" w:type="dxa"/>
              <w:bottom w:w="90" w:type="dxa"/>
              <w:right w:w="120" w:type="dxa"/>
            </w:tcMar>
            <w:vAlign w:val="center"/>
          </w:tcPr>
          <w:p w14:paraId="5EED1583" w14:textId="77777777">
            <w:pPr>
              <w:keepLines/>
              <w:spacing w:after="0" w:line="252" w:lineRule="auto"/>
              <w:jc w:val="left"/>
            </w:pPr>
            <w:r>
              <w:rPr>
                <w:sz w:val="18"/>
              </w:rPr>
              <w:t>Periode → Revenue</w:t>
            </w:r>
          </w:p>
        </w:tc>
      </w:tr>
      <w:tr w14:paraId="543D91C1" w14:textId="77777777">
        <w:trPr>
          <w:cantSplit/>
        </w:trPr>
        <w:tc>
          <w:tcPr>
            <w:tcW w:w="9360" w:type="dxa"/>
            <w:tcMar>
              <w:top w:w="90" w:type="dxa"/>
              <w:left w:w="120" w:type="dxa"/>
              <w:bottom w:w="90" w:type="dxa"/>
              <w:right w:w="120" w:type="dxa"/>
            </w:tcMar>
            <w:vAlign w:val="center"/>
          </w:tcPr>
          <w:p w14:paraId="03905C9C" w14:textId="77777777">
            <w:pPr>
              <w:keepLines/>
              <w:spacing w:after="0" w:line="252" w:lineRule="auto"/>
              <w:jc w:val="left"/>
            </w:pPr>
            <w:r>
              <w:rPr>
                <w:sz w:val="18"/>
              </w:rPr>
              <w:t>JourSpecial o—o NouveauVisiteur</w:t>
            </w:r>
          </w:p>
        </w:tc>
      </w:tr>
      <w:tr w14:paraId="76B76D03" w14:textId="77777777">
        <w:trPr>
          <w:cantSplit/>
        </w:trPr>
        <w:tc>
          <w:tcPr>
            <w:tcW w:w="9360" w:type="dxa"/>
            <w:shd w:val="clear" w:color="auto" w:fill="F7F7F7"/>
            <w:tcMar>
              <w:top w:w="90" w:type="dxa"/>
              <w:left w:w="120" w:type="dxa"/>
              <w:bottom w:w="90" w:type="dxa"/>
              <w:right w:w="120" w:type="dxa"/>
            </w:tcMar>
            <w:vAlign w:val="center"/>
          </w:tcPr>
          <w:p w14:paraId="590D8515" w14:textId="77777777">
            <w:pPr>
              <w:keepLines/>
              <w:spacing w:after="0" w:line="252" w:lineRule="auto"/>
              <w:jc w:val="left"/>
            </w:pPr>
            <w:r>
              <w:rPr>
                <w:sz w:val="18"/>
              </w:rPr>
              <w:t>JourSpecial → SourceTrafic</w:t>
            </w:r>
          </w:p>
        </w:tc>
      </w:tr>
      <w:tr w14:paraId="627EEB82" w14:textId="77777777">
        <w:trPr>
          <w:cantSplit/>
        </w:trPr>
        <w:tc>
          <w:tcPr>
            <w:tcW w:w="9360" w:type="dxa"/>
            <w:tcMar>
              <w:top w:w="90" w:type="dxa"/>
              <w:left w:w="120" w:type="dxa"/>
              <w:bottom w:w="90" w:type="dxa"/>
              <w:right w:w="120" w:type="dxa"/>
            </w:tcMar>
            <w:vAlign w:val="center"/>
          </w:tcPr>
          <w:p w14:paraId="75DE0BFD" w14:textId="77777777">
            <w:pPr>
              <w:keepLines/>
              <w:spacing w:after="0" w:line="252" w:lineRule="auto"/>
              <w:jc w:val="left"/>
            </w:pPr>
            <w:r>
              <w:rPr>
                <w:sz w:val="18"/>
              </w:rPr>
              <w:t>JourSpecial → Weekend</w:t>
            </w:r>
          </w:p>
        </w:tc>
      </w:tr>
      <w:tr w14:paraId="24071A04" w14:textId="77777777">
        <w:trPr>
          <w:cantSplit/>
        </w:trPr>
        <w:tc>
          <w:tcPr>
            <w:tcW w:w="9360" w:type="dxa"/>
            <w:shd w:val="clear" w:color="auto" w:fill="F7F7F7"/>
            <w:tcMar>
              <w:top w:w="90" w:type="dxa"/>
              <w:left w:w="120" w:type="dxa"/>
              <w:bottom w:w="90" w:type="dxa"/>
              <w:right w:w="120" w:type="dxa"/>
            </w:tcMar>
            <w:vAlign w:val="center"/>
          </w:tcPr>
          <w:p w14:paraId="3A1DCB25" w14:textId="77777777">
            <w:pPr>
              <w:keepLines/>
              <w:spacing w:after="0" w:line="252" w:lineRule="auto"/>
              <w:jc w:val="left"/>
            </w:pPr>
            <w:r>
              <w:rPr>
                <w:sz w:val="18"/>
              </w:rPr>
              <w:t>JourSpecial → Revenue</w:t>
            </w:r>
          </w:p>
        </w:tc>
      </w:tr>
      <w:tr w14:paraId="5B428662" w14:textId="77777777">
        <w:trPr>
          <w:cantSplit/>
        </w:trPr>
        <w:tc>
          <w:tcPr>
            <w:tcW w:w="9360" w:type="dxa"/>
            <w:tcMar>
              <w:top w:w="90" w:type="dxa"/>
              <w:left w:w="120" w:type="dxa"/>
              <w:bottom w:w="90" w:type="dxa"/>
              <w:right w:w="120" w:type="dxa"/>
            </w:tcMar>
            <w:vAlign w:val="center"/>
          </w:tcPr>
          <w:p w14:paraId="3F7DE18C" w14:textId="77777777">
            <w:pPr>
              <w:keepLines/>
              <w:spacing w:after="0" w:line="252" w:lineRule="auto"/>
              <w:jc w:val="left"/>
            </w:pPr>
            <w:r>
              <w:rPr>
                <w:sz w:val="18"/>
              </w:rPr>
              <w:t>NouveauVisiteur → SourceTrafic</w:t>
            </w:r>
          </w:p>
        </w:tc>
      </w:tr>
      <w:tr w14:paraId="4AAEA3ED" w14:textId="77777777">
        <w:trPr>
          <w:cantSplit/>
        </w:trPr>
        <w:tc>
          <w:tcPr>
            <w:tcW w:w="9360" w:type="dxa"/>
            <w:shd w:val="clear" w:color="auto" w:fill="F7F7F7"/>
            <w:tcMar>
              <w:top w:w="90" w:type="dxa"/>
              <w:left w:w="120" w:type="dxa"/>
              <w:bottom w:w="90" w:type="dxa"/>
              <w:right w:w="120" w:type="dxa"/>
            </w:tcMar>
            <w:vAlign w:val="center"/>
          </w:tcPr>
          <w:p w14:paraId="222A453B" w14:textId="77777777">
            <w:pPr>
              <w:keepLines/>
              <w:spacing w:after="0" w:line="252" w:lineRule="auto"/>
              <w:jc w:val="left"/>
            </w:pPr>
            <w:r>
              <w:rPr>
                <w:sz w:val="18"/>
              </w:rPr>
              <w:t>NouveauVisiteur → Weekend</w:t>
            </w:r>
          </w:p>
        </w:tc>
      </w:tr>
      <w:tr w14:paraId="594D3E1D" w14:textId="77777777">
        <w:trPr>
          <w:cantSplit/>
        </w:trPr>
        <w:tc>
          <w:tcPr>
            <w:tcW w:w="9360" w:type="dxa"/>
            <w:tcMar>
              <w:top w:w="90" w:type="dxa"/>
              <w:left w:w="120" w:type="dxa"/>
              <w:bottom w:w="90" w:type="dxa"/>
              <w:right w:w="120" w:type="dxa"/>
            </w:tcMar>
            <w:vAlign w:val="center"/>
          </w:tcPr>
          <w:p w14:paraId="28D39D7B" w14:textId="77777777">
            <w:pPr>
              <w:keepLines/>
              <w:spacing w:after="0" w:line="252" w:lineRule="auto"/>
              <w:jc w:val="left"/>
            </w:pPr>
            <w:r>
              <w:rPr>
                <w:sz w:val="18"/>
              </w:rPr>
              <w:t>NouveauVisiteur → Revenue</w:t>
            </w:r>
          </w:p>
        </w:tc>
      </w:tr>
      <w:tr w14:paraId="68765B67" w14:textId="77777777">
        <w:trPr>
          <w:cantSplit/>
        </w:trPr>
        <w:tc>
          <w:tcPr>
            <w:tcW w:w="9360" w:type="dxa"/>
            <w:shd w:val="clear" w:color="auto" w:fill="F7F7F7"/>
            <w:tcMar>
              <w:top w:w="90" w:type="dxa"/>
              <w:left w:w="120" w:type="dxa"/>
              <w:bottom w:w="90" w:type="dxa"/>
              <w:right w:w="120" w:type="dxa"/>
            </w:tcMar>
            <w:vAlign w:val="center"/>
          </w:tcPr>
          <w:p w14:paraId="0354D4DA" w14:textId="77777777">
            <w:pPr>
              <w:keepLines/>
              <w:spacing w:after="0" w:line="252" w:lineRule="auto"/>
              <w:jc w:val="left"/>
            </w:pPr>
            <w:r>
              <w:rPr>
                <w:sz w:val="18"/>
              </w:rPr>
              <w:t>Weekend o→ SourceTrafic</w:t>
            </w:r>
          </w:p>
        </w:tc>
      </w:tr>
      <w:tr w14:paraId="7346F987" w14:textId="77777777">
        <w:trPr>
          <w:cantSplit/>
        </w:trPr>
        <w:tc>
          <w:tcPr>
            <w:tcW w:w="9360" w:type="dxa"/>
            <w:tcMar>
              <w:top w:w="90" w:type="dxa"/>
              <w:left w:w="120" w:type="dxa"/>
              <w:bottom w:w="90" w:type="dxa"/>
              <w:right w:w="120" w:type="dxa"/>
            </w:tcMar>
            <w:vAlign w:val="center"/>
          </w:tcPr>
          <w:p w14:paraId="1F9D5EB5" w14:textId="77777777">
            <w:pPr>
              <w:keepLines/>
              <w:spacing w:after="0" w:line="252" w:lineRule="auto"/>
              <w:jc w:val="left"/>
            </w:pPr>
            <w:r>
              <w:rPr>
                <w:sz w:val="18"/>
              </w:rPr>
              <w:t>SourceTrafic → Revenue</w:t>
            </w:r>
          </w:p>
        </w:tc>
      </w:tr>
    </w:tbl>
    <w:p w14:paraId="04DF9D98" w14:textId="77777777">
      <w:pPr>
        <w:pStyle w:val="Source"/>
      </w:pPr>
      <w:r>
        <w:t>Source : sortie FCI exportée par le notebook final.</w:t>
      </w:r>
    </w:p>
    <w:sectPr>
      <w:headerReference w:type="default" r:id="rId19"/>
      <w:footerReference w:type="default" r:id="rId2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33071" w14:textId="77777777">
      <w:pPr>
        <w:spacing w:after="0" w:line="240" w:lineRule="auto"/>
      </w:pPr>
      <w:r>
        <w:separator/>
      </w:r>
    </w:p>
  </w:endnote>
  <w:endnote w:type="continuationSeparator" w:id="0">
    <w:p w14:paraId="5FDA44F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C821" w14:textId="77777777">
    <w:pPr>
      <w:pStyle w:val="Footer"/>
      <w:jc w:val="center"/>
    </w:pPr>
    <w:r>
      <w:rPr>
        <w:color w:val="666666"/>
        <w:sz w:val="18"/>
      </w:rPr>
      <w:fldChar w:fldCharType="begin"/>
    </w:r>
    <w:r>
      <w:rPr>
        <w:color w:val="666666"/>
        <w:sz w:val="18"/>
      </w:rPr>
      <w:instrText xml:space="preserve"> PAGE \* ROMAN </w:instrText>
    </w:r>
    <w:r>
      <w:rPr>
        <w:color w:val="666666"/>
        <w:sz w:val="18"/>
      </w:rPr>
      <w:fldChar w:fldCharType="separate"/>
    </w:r>
    <w:r>
      <w:rPr>
        <w:color w:val="666666"/>
        <w:sz w:val="18"/>
      </w:rPr>
      <w:t>ii</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8E8F"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C9CC" w14:textId="77777777">
    <w:pPr>
      <w:pStyle w:val="Foote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ACD3C" w14:textId="77777777">
      <w:pPr>
        <w:spacing w:after="0" w:line="240" w:lineRule="auto"/>
      </w:pPr>
      <w:r>
        <w:separator/>
      </w:r>
    </w:p>
  </w:footnote>
  <w:footnote w:type="continuationSeparator" w:id="0">
    <w:p w14:paraId="505FF18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AE5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939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42FA" w14:textId="77777777">
    <w:pPr>
      <w:pStyle w:val="Header"/>
      <w:jc w:val="right"/>
    </w:pPr>
    <w:r>
      <w:rPr>
        <w:i/>
        <w:color w:val="666666"/>
        <w:sz w:val="18"/>
      </w:rPr>
      <w:t>Inférence causale sur les transactions en ligne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100009"/>
    <w:multiLevelType w:val="singleLevel"/>
    <w:tmpl w:val="B1100009"/>
    <w:lvl w:ilvl="0">
      <w:start w:val="1"/>
      <w:numFmt w:val="bullet"/>
      <w:lvlText w:val=""/>
      <w:lvlJc w:val="left"/>
      <w:pPr>
        <w:tabs>
          <w:tab w:val="num" w:pos="540"/>
        </w:tabs>
        <w:ind w:left="540" w:hanging="280"/>
      </w:pPr>
      <w:rPr>
        <w:rFonts w:ascii="Symbol" w:eastAsia="Symbol" w:hAnsi="Symbol" w:cs="Symbol"/>
      </w:rPr>
    </w:lvl>
  </w:abstractNum>
  <w:abstractNum w:abstractNumId="1" w15:restartNumberingAfterBreak="0">
    <w:nsid w:val="A110000A"/>
    <w:multiLevelType w:val="singleLevel"/>
    <w:tmpl w:val="B110000A"/>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2" w15:restartNumberingAfterBreak="0">
    <w:nsid w:val="A110000B"/>
    <w:multiLevelType w:val="singleLevel"/>
    <w:tmpl w:val="B110000B"/>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3" w15:restartNumberingAfterBreak="0">
    <w:nsid w:val="A110000C"/>
    <w:multiLevelType w:val="singleLevel"/>
    <w:tmpl w:val="B110000C"/>
    <w:lvl w:ilvl="0">
      <w:start w:val="1"/>
      <w:numFmt w:val="bullet"/>
      <w:lvlText w:val=""/>
      <w:lvlJc w:val="left"/>
      <w:pPr>
        <w:tabs>
          <w:tab w:val="num" w:pos="540"/>
        </w:tabs>
        <w:ind w:left="540" w:hanging="280"/>
      </w:pPr>
      <w:rPr>
        <w:rFonts w:ascii="Symbol" w:eastAsia="Symbol" w:hAnsi="Symbol" w:cs="Symbol"/>
      </w:rPr>
    </w:lvl>
  </w:abstractNum>
  <w:abstractNum w:abstractNumId="4" w15:restartNumberingAfterBreak="0">
    <w:nsid w:val="A110000D"/>
    <w:multiLevelType w:val="singleLevel"/>
    <w:tmpl w:val="B110000D"/>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5"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6"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7"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8"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9" w15:restartNumberingAfterBreak="0">
    <w:nsid w:val="FFFFFF81"/>
    <w:multiLevelType w:val="singleLevel"/>
    <w:tmpl w:val="171AC3A4"/>
    <w:lvl w:ilvl="0">
      <w:start w:val="1"/>
      <w:numFmt w:val="bullet"/>
      <w:lvlText w:val=""/>
      <w:lvlJc w:val="left"/>
      <w:pPr>
        <w:tabs>
          <w:tab w:val="num" w:pos="1440"/>
        </w:tabs>
        <w:ind w:left="1440" w:hanging="360"/>
      </w:pPr>
      <w:rPr>
        <w:rFonts w:ascii="Symbol" w:eastAsia="Symbol" w:hAnsi="Symbol" w:cs="Symbol" w:hint="default"/>
      </w:rPr>
    </w:lvl>
  </w:abstractNum>
  <w:abstractNum w:abstractNumId="1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eastAsia="Symbol" w:hAnsi="Symbol" w:cs="Symbol" w:hint="default"/>
      </w:rPr>
    </w:lvl>
  </w:abstractNum>
  <w:abstractNum w:abstractNumId="11"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eastAsia="Symbol" w:hAnsi="Symbol" w:cs="Symbol" w:hint="default"/>
      </w:rPr>
    </w:lvl>
  </w:abstractNum>
  <w:abstractNum w:abstractNumId="12"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3"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eastAsia="Symbol" w:hAnsi="Symbol" w:cs="Symbol" w:hint="default"/>
      </w:rPr>
    </w:lvl>
  </w:abstractNum>
  <w:num w:numId="1" w16cid:durableId="283272818">
    <w:abstractNumId w:val="13"/>
  </w:num>
  <w:num w:numId="2" w16cid:durableId="1710884480">
    <w:abstractNumId w:val="11"/>
  </w:num>
  <w:num w:numId="3" w16cid:durableId="1627740948">
    <w:abstractNumId w:val="10"/>
  </w:num>
  <w:num w:numId="4" w16cid:durableId="996957639">
    <w:abstractNumId w:val="9"/>
  </w:num>
  <w:num w:numId="5" w16cid:durableId="1375740310">
    <w:abstractNumId w:val="12"/>
  </w:num>
  <w:num w:numId="6" w16cid:durableId="357857551">
    <w:abstractNumId w:val="8"/>
  </w:num>
  <w:num w:numId="7" w16cid:durableId="1989820016">
    <w:abstractNumId w:val="7"/>
  </w:num>
  <w:num w:numId="8" w16cid:durableId="1856653860">
    <w:abstractNumId w:val="6"/>
  </w:num>
  <w:num w:numId="9" w16cid:durableId="463691676">
    <w:abstractNumId w:val="5"/>
  </w:num>
  <w:num w:numId="10" w16cid:durableId="644896158">
    <w:abstractNumId w:val="0"/>
    <w:lvlOverride w:ilvl="0">
      <w:startOverride w:val="1"/>
    </w:lvlOverride>
  </w:num>
  <w:num w:numId="11" w16cid:durableId="1033841522">
    <w:abstractNumId w:val="1"/>
    <w:lvlOverride w:ilvl="0">
      <w:startOverride w:val="1"/>
    </w:lvlOverride>
  </w:num>
  <w:num w:numId="12" w16cid:durableId="1087193251">
    <w:abstractNumId w:val="2"/>
    <w:lvlOverride w:ilvl="0">
      <w:startOverride w:val="1"/>
    </w:lvlOverride>
  </w:num>
  <w:num w:numId="13" w16cid:durableId="1280642147">
    <w:abstractNumId w:val="3"/>
    <w:lvlOverride w:ilvl="0">
      <w:startOverride w:val="1"/>
    </w:lvlOverride>
  </w:num>
  <w:num w:numId="14" w16cid:durableId="153630985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3B8"/>
    <w:rsid w:val="0015074B"/>
    <w:rsid w:val="00255D6D"/>
    <w:rsid w:val="002878DB"/>
    <w:rsid w:val="0029639D"/>
    <w:rsid w:val="00326F90"/>
    <w:rsid w:val="006015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453BC"/>
  <w14:defaultImageDpi w14:val="300"/>
  <w15:docId w15:val="{E91629C9-BB4C-4BB1-A364-97D74CC53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jc w:val="both"/>
    </w:pPr>
    <w:rPr>
      <w:color w:val="000000"/>
    </w:rPr>
  </w:style>
  <w:style w:type="paragraph" w:styleId="Heading1">
    <w:name w:val="heading 1"/>
    <w:basedOn w:val="Normal"/>
    <w:next w:val="Normal"/>
    <w:link w:val="Heading1Char"/>
    <w:uiPriority w:val="9"/>
    <w:qFormat/>
    <w:rsid w:val="00FC693F"/>
    <w:pPr>
      <w:keepNext/>
      <w:keepLines/>
      <w:spacing w:before="300" w:after="120" w:line="240" w:lineRule="auto"/>
      <w:jc w:val="left"/>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Courier" w:hAnsi="Courier" w:cs="Courier"/>
      <w:sz w:val="20"/>
      <w:szCs w:val="20"/>
    </w:rPr>
  </w:style>
  <w:style w:type="character" w:customStyle="1" w:styleId="MacroTextChar">
    <w:name w:val="Macro Text Char"/>
    <w:basedOn w:val="DefaultParagraphFont"/>
    <w:link w:val="MacroText"/>
    <w:uiPriority w:val="99"/>
    <w:rsid w:val="0029639D"/>
    <w:rPr>
      <w:rFonts w:ascii="Courier" w:eastAsia="Courier" w:hAnsi="Courier" w:cs="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before="60" w:after="40" w:line="240" w:lineRule="auto"/>
      <w:jc w:val="center"/>
    </w:pPr>
    <w:rPr>
      <w:bCs/>
      <w:i/>
      <w:color w:val="66666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240"/>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keepNext/>
      <w:keepLines/>
      <w:spacing w:before="300" w:after="120"/>
    </w:pPr>
    <w:rPr>
      <w:b/>
      <w:color w:val="000000"/>
      <w:sz w:val="30"/>
    </w:rPr>
  </w:style>
  <w:style w:type="paragraph" w:customStyle="1" w:styleId="TableCaption">
    <w:name w:val="Table Caption"/>
    <w:pPr>
      <w:keepNext/>
      <w:keepLines/>
      <w:spacing w:before="120" w:after="60"/>
      <w:jc w:val="center"/>
    </w:pPr>
    <w:rPr>
      <w:b/>
      <w:color w:val="000000"/>
      <w:sz w:val="20"/>
    </w:rPr>
  </w:style>
  <w:style w:type="paragraph" w:customStyle="1" w:styleId="Source">
    <w:name w:val="Source"/>
    <w:pPr>
      <w:spacing w:before="60" w:after="160" w:line="240" w:lineRule="auto"/>
    </w:pPr>
    <w:rPr>
      <w:i/>
      <w:color w:val="666666"/>
      <w:sz w:val="18"/>
    </w:rPr>
  </w:style>
  <w:style w:type="paragraph" w:customStyle="1" w:styleId="Equation">
    <w:name w:val="Equation"/>
    <w:pPr>
      <w:keepLines/>
      <w:spacing w:before="100" w:after="140"/>
      <w:jc w:val="center"/>
    </w:pPr>
    <w:rPr>
      <w:rFonts w:ascii="Cambria Math" w:eastAsia="Cambria Math" w:hAnsi="Cambria Math" w:cs="Cambria Math"/>
      <w:color w:val="000000"/>
      <w:sz w:val="22"/>
    </w:rPr>
  </w:style>
  <w:style w:type="paragraph" w:customStyle="1" w:styleId="AcademicQuote">
    <w:name w:val="Academic Quote"/>
    <w:pPr>
      <w:keepLines/>
      <w:spacing w:before="120" w:after="160"/>
      <w:ind w:left="648" w:right="648"/>
    </w:pPr>
    <w:rPr>
      <w:i/>
      <w:color w:val="000000"/>
      <w:sz w:val="23"/>
    </w:rPr>
  </w:style>
  <w:style w:type="paragraph" w:customStyle="1" w:styleId="AcademicCode">
    <w:name w:val="Academic Code"/>
    <w:pPr>
      <w:spacing w:before="40" w:after="100" w:line="240" w:lineRule="auto"/>
      <w:ind w:left="360"/>
    </w:pPr>
    <w:rPr>
      <w:rFonts w:ascii="Consolas" w:eastAsia="Consolas" w:hAnsi="Consolas" w:cs="Consolas"/>
      <w:color w:val="000000"/>
      <w:sz w:val="17"/>
    </w:rPr>
  </w:style>
  <w:style w:type="paragraph" w:customStyle="1" w:styleId="TOC11">
    <w:name w:val="TOC 11"/>
    <w:pPr>
      <w:spacing w:after="60" w:line="240" w:lineRule="auto"/>
    </w:pPr>
    <w:rPr>
      <w:color w:val="000000"/>
      <w:sz w:val="22"/>
    </w:rPr>
  </w:style>
  <w:style w:type="paragraph" w:styleId="TOC1">
    <w:name w:val="toc 1"/>
    <w:basedOn w:val="Normal"/>
    <w:next w:val="Normal"/>
    <w:autoRedefine/>
    <w:uiPriority w:val="39"/>
    <w:unhideWhenUsed/>
    <w:rsid w:val="001233B8"/>
    <w:pPr>
      <w:spacing w:after="100"/>
    </w:pPr>
  </w:style>
  <w:style w:type="character" w:styleId="Hyperlink">
    <w:name w:val="Hyperlink"/>
    <w:basedOn w:val="DefaultParagraphFont"/>
    <w:uiPriority w:val="99"/>
    <w:unhideWhenUsed/>
    <w:rsid w:val="001233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5075</Words>
  <Characters>28928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Inférence causale sur les transactions en ligne</dc:title>
  <dc:subject>Effet exploratoire d'une session durant le weekend sur la probabilité de transaction</dc:subject>
  <dc:creator/>
  <cp:keywords>inférence causale, Weekend, Revenue, DAG, FCI, AIPW</cp:keywords>
  <dc:description/>
  <cp:lastModifiedBy/>
  <cp:revision>1</cp:revision>
  <dcterms:created xsi:type="dcterms:W3CDTF">2026-07-15T00:00:00Z</dcterms:created>
  <dcterms:modified xsi:type="dcterms:W3CDTF">2026-07-15T20:07:00Z</dcterms:modified>
  <cp:category/>
</cp:coreProperties>
</file>