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26"/>
        <w:tblBorders>
          <w:top w:val="none" w:color="FFFFFF" w:sz="0"/>
          <w:left w:val="none" w:color="FFFFFF" w:sz="0"/>
          <w:bottom w:val="none" w:color="FFFFFF" w:sz="0"/>
          <w:right w:val="none" w:color="FFFFFF" w:sz="0"/>
          <w:insideH w:val="single" w:color="auto" w:sz="4"/>
          <w:insideV w:val="single" w:color="auto" w:sz="4"/>
        </w:tblBorders>
      </w:tblPr>
      <w:tblGrid>
        <w:gridCol w:w="9826"/>
      </w:tblGrid>
      <w:tr>
        <w:tc>
          <w:tcPr>
            <w:tcW w:type="dxa" w:w="9826"/>
            <w:tcBorders>
              <w:top w:val="none" w:color="FFFFFF" w:sz="0"/>
              <w:left w:val="none" w:color="FFFFFF" w:sz="0"/>
              <w:bottom w:val="none" w:color="FFFFFF" w:sz="0"/>
              <w:right w:val="none" w:color="FFFFFF" w:sz="0"/>
            </w:tcBorders>
            <w:shd w:fill="1A3C5E" w:val="clear"/>
            <w:tcMar>
              <w:top w:type="dxa" w:w="500"/>
              <w:left w:type="dxa" w:w="500"/>
              <w:bottom w:type="dxa" w:w="500"/>
              <w:right w:type="dxa" w:w="500"/>
            </w:tcMar>
          </w:tcPr>
          <w:p>
            <w:r>
              <w:rPr>
                <w:rFonts w:ascii="Arial" w:cs="Arial" w:eastAsia="Arial" w:hAnsi="Arial"/>
                <w:b/>
                <w:bCs/>
                <w:color w:val="FFFFFF"/>
                <w:sz w:val="40"/>
                <w:szCs w:val="40"/>
              </w:rPr>
              <w:t xml:space="preserve">CARTER DIGITALS (PTY) LTD</w:t>
            </w:r>
          </w:p>
          <w:p>
            <w:pPr>
              <w:spacing w:before="80"/>
            </w:pPr>
            <w:r>
              <w:rPr>
                <w:rFonts w:ascii="Arial" w:cs="Arial" w:eastAsia="Arial" w:hAnsi="Arial"/>
                <w:color w:val="C8A84B"/>
                <w:sz w:val="20"/>
                <w:szCs w:val="20"/>
              </w:rPr>
              <w:t xml:space="preserve">B-BBEE Level 1  ·  100% Black &amp; Youth-Owned  ·  Soshanguve, Pretoria</w:t>
            </w:r>
          </w:p>
          <w:p>
            <w:pPr>
              <w:spacing w:before="320"/>
            </w:pPr>
            <w:r>
              <w:rPr>
                <w:rFonts w:ascii="Arial" w:cs="Arial" w:eastAsia="Arial" w:hAnsi="Arial"/>
                <w:b/>
                <w:bCs/>
                <w:color w:val="FFFFFF"/>
                <w:sz w:val="34"/>
                <w:szCs w:val="34"/>
              </w:rPr>
              <w:t xml:space="preserve">AI POLICY OPPORTUNITY BRIEF</w:t>
            </w:r>
          </w:p>
          <w:p>
            <w:pPr>
              <w:spacing w:before="80"/>
            </w:pPr>
            <w:r>
              <w:rPr>
                <w:rFonts w:ascii="Arial" w:cs="Arial" w:eastAsia="Arial" w:hAnsi="Arial"/>
                <w:i/>
                <w:iCs/>
                <w:color w:val="AACCEE"/>
                <w:sz w:val="22"/>
                <w:szCs w:val="22"/>
              </w:rPr>
              <w:t xml:space="preserve">How Carter Digitals Positions, Capitalises, and Competes in South Africa's Emerging AI Economy</w:t>
            </w:r>
          </w:p>
          <w:p>
            <w:pPr>
              <w:spacing w:before="200"/>
            </w:pPr>
            <w:r>
              <w:rPr>
                <w:rFonts w:ascii="Arial" w:cs="Arial" w:eastAsia="Arial" w:hAnsi="Arial"/>
                <w:color w:val="779AAA"/>
                <w:sz w:val="18"/>
                <w:szCs w:val="18"/>
              </w:rPr>
              <w:t xml:space="preserve">April 2026  |  Internal Strategy  |  Confidential</w:t>
            </w:r>
          </w:p>
        </w:tc>
      </w:tr>
    </w:tbl>
    <w:p>
      <w:pPr>
        <w:spacing w:after="80" w:before="80"/>
      </w:pPr>
      <w:r>
        <w:t xml:space="preserve"/>
      </w:r>
    </w:p>
    <w:tbl>
      <w:tblPr>
        <w:tblW w:type="dxa" w:w="9826"/>
        <w:tblBorders>
          <w:top w:val="none" w:color="FFFFFF" w:sz="0"/>
          <w:left w:val="none" w:color="FFFFFF" w:sz="0"/>
          <w:bottom w:val="none" w:color="FFFFFF" w:sz="0"/>
          <w:right w:val="none" w:color="FFFFFF" w:sz="0"/>
          <w:insideH w:val="single" w:color="auto" w:sz="4"/>
          <w:insideV w:val="single" w:color="auto" w:sz="4"/>
        </w:tblBorders>
      </w:tblPr>
      <w:tblGrid>
        <w:gridCol w:w="3275"/>
        <w:gridCol w:w="3275"/>
        <w:gridCol w:w="3276"/>
      </w:tblGrid>
      <w:tr>
        <w:tc>
          <w:tcPr>
            <w:tcW w:type="dxa" w:w="3275"/>
            <w:tcBorders>
              <w:top w:val="single" w:color="DDDDDD" w:sz="1"/>
              <w:left w:val="single" w:color="DDDDDD" w:sz="1"/>
              <w:bottom w:val="single" w:color="DDDDDD" w:sz="1"/>
              <w:right w:val="single" w:color="DDDDDD" w:sz="1"/>
            </w:tcBorders>
            <w:shd w:fill="E8F0F7" w:val="clear"/>
            <w:tcMar>
              <w:top w:type="dxa" w:w="120"/>
              <w:left w:type="dxa" w:w="160"/>
              <w:bottom w:type="dxa" w:w="120"/>
              <w:right w:type="dxa" w:w="160"/>
            </w:tcMar>
          </w:tcPr>
          <w:p>
            <w:r>
              <w:rPr>
                <w:rFonts w:ascii="Arial" w:cs="Arial" w:eastAsia="Arial" w:hAnsi="Arial"/>
                <w:b/>
                <w:bCs/>
                <w:color w:val="1A3C5E"/>
                <w:sz w:val="28"/>
                <w:szCs w:val="28"/>
              </w:rPr>
              <w:t xml:space="preserve">8 Opportunities</w:t>
            </w:r>
          </w:p>
          <w:p>
            <w:r>
              <w:rPr>
                <w:rFonts w:ascii="Arial" w:cs="Arial" w:eastAsia="Arial" w:hAnsi="Arial"/>
                <w:color w:val="555555"/>
                <w:sz w:val="19"/>
                <w:szCs w:val="19"/>
              </w:rPr>
              <w:t xml:space="preserve">Identified from the policy</w:t>
            </w:r>
          </w:p>
        </w:tc>
        <w:tc>
          <w:tcPr>
            <w:tcW w:type="dxa" w:w="3275"/>
            <w:tcBorders>
              <w:top w:val="single" w:color="DDDDDD" w:sz="1"/>
              <w:left w:val="single" w:color="DDDDDD" w:sz="1"/>
              <w:bottom w:val="single" w:color="DDDDDD" w:sz="1"/>
              <w:right w:val="single" w:color="DDDDDD" w:sz="1"/>
            </w:tcBorders>
            <w:shd w:fill="E8F5EE" w:val="clear"/>
            <w:tcMar>
              <w:top w:type="dxa" w:w="120"/>
              <w:left w:type="dxa" w:w="160"/>
              <w:bottom w:type="dxa" w:w="120"/>
              <w:right w:type="dxa" w:w="160"/>
            </w:tcMar>
          </w:tcPr>
          <w:p>
            <w:r>
              <w:rPr>
                <w:rFonts w:ascii="Arial" w:cs="Arial" w:eastAsia="Arial" w:hAnsi="Arial"/>
                <w:b/>
                <w:bCs/>
                <w:color w:val="1A6B3C"/>
                <w:sz w:val="28"/>
                <w:szCs w:val="28"/>
              </w:rPr>
              <w:t xml:space="preserve">5 Action Tracks</w:t>
            </w:r>
          </w:p>
          <w:p>
            <w:r>
              <w:rPr>
                <w:rFonts w:ascii="Arial" w:cs="Arial" w:eastAsia="Arial" w:hAnsi="Arial"/>
                <w:color w:val="555555"/>
                <w:sz w:val="19"/>
                <w:szCs w:val="19"/>
              </w:rPr>
              <w:t xml:space="preserve">To activate government access</w:t>
            </w:r>
          </w:p>
        </w:tc>
        <w:tc>
          <w:tcPr>
            <w:tcW w:type="dxa" w:w="3276"/>
            <w:tcBorders>
              <w:top w:val="single" w:color="DDDDDD" w:sz="1"/>
              <w:left w:val="single" w:color="DDDDDD" w:sz="1"/>
              <w:bottom w:val="single" w:color="DDDDDD" w:sz="1"/>
              <w:right w:val="single" w:color="DDDDDD" w:sz="1"/>
            </w:tcBorders>
            <w:shd w:fill="FDF6E3" w:val="clear"/>
            <w:tcMar>
              <w:top w:type="dxa" w:w="120"/>
              <w:left w:type="dxa" w:w="160"/>
              <w:bottom w:type="dxa" w:w="120"/>
              <w:right w:type="dxa" w:w="160"/>
            </w:tcMar>
          </w:tcPr>
          <w:p>
            <w:r>
              <w:rPr>
                <w:rFonts w:ascii="Arial" w:cs="Arial" w:eastAsia="Arial" w:hAnsi="Arial"/>
                <w:b/>
                <w:bCs/>
                <w:color w:val="C85A1A"/>
                <w:sz w:val="28"/>
                <w:szCs w:val="28"/>
              </w:rPr>
              <w:t xml:space="preserve">12-Month Roadmap</w:t>
            </w:r>
          </w:p>
          <w:p>
            <w:r>
              <w:rPr>
                <w:rFonts w:ascii="Arial" w:cs="Arial" w:eastAsia="Arial" w:hAnsi="Arial"/>
                <w:color w:val="555555"/>
                <w:sz w:val="19"/>
                <w:szCs w:val="19"/>
              </w:rPr>
              <w:t xml:space="preserve">Phased execution plan</w:t>
            </w:r>
          </w:p>
        </w:tc>
      </w:tr>
    </w:tbl>
    <w:p>
      <w:pPr>
        <w:spacing w:after="80" w:before="80"/>
      </w:pPr>
      <w:r>
        <w:t xml:space="preserve"/>
      </w:r>
    </w:p>
    <w:p>
      <w:pPr>
        <w:pBdr>
          <w:bottom w:val="single" w:color="C8A84B" w:sz="6" w:space="1"/>
        </w:pBdr>
        <w:spacing w:after="80" w:before="80"/>
      </w:pPr>
      <w:r>
        <w:t xml:space="preserve"/>
      </w:r>
    </w:p>
    <w:p>
      <w:pPr>
        <w:spacing w:after="80" w:before="80"/>
      </w:pPr>
      <w:r>
        <w:t xml:space="preserve"/>
      </w:r>
    </w:p>
    <w:p>
      <w:pPr>
        <w:pStyle w:val="Heading1"/>
        <w:spacing w:after="160" w:before="400"/>
      </w:pPr>
      <w:r>
        <w:rPr>
          <w:rFonts w:ascii="Arial" w:cs="Arial" w:eastAsia="Arial" w:hAnsi="Arial"/>
          <w:b/>
          <w:bCs/>
          <w:color w:val="1A3C5E"/>
          <w:sz w:val="30"/>
          <w:szCs w:val="30"/>
        </w:rPr>
        <w:t xml:space="preserve">Executive Summary</w:t>
      </w:r>
    </w:p>
    <w:p>
      <w:pPr>
        <w:spacing w:after="100" w:before="100"/>
        <w:jc w:val="both"/>
      </w:pPr>
      <w:r>
        <w:rPr>
          <w:rFonts w:ascii="Arial" w:cs="Arial" w:eastAsia="Arial" w:hAnsi="Arial"/>
          <w:sz w:val="21"/>
          <w:szCs w:val="21"/>
        </w:rPr>
        <w:t xml:space="preserve">South Africa's Draft National AI Policy — published in the Government Gazette on 10 April 2026 — is the most significant digital economy policy development in a decade. For most businesses it is background noise. For Carter Digitals, it is a strategic inflection point.</w:t>
      </w:r>
    </w:p>
    <w:p>
      <w:pPr>
        <w:spacing w:after="80" w:before="80"/>
      </w:pPr>
      <w:r>
        <w:t xml:space="preserve"/>
      </w:r>
    </w:p>
    <w:p>
      <w:pPr>
        <w:spacing w:after="100" w:before="100"/>
        <w:jc w:val="both"/>
      </w:pPr>
      <w:r>
        <w:rPr>
          <w:rFonts w:ascii="Arial" w:cs="Arial" w:eastAsia="Arial" w:hAnsi="Arial"/>
          <w:sz w:val="21"/>
          <w:szCs w:val="21"/>
        </w:rPr>
        <w:t xml:space="preserve">The policy explicitly targets B-BBEE Level 1, Black-owned, youth-led MSMEs as primary beneficiaries and implementation partners. It proposes funding mechanisms, procurement preferences, regulatory sandboxes, and AI accelerators designed to create exactly the kind of market access Carter Digitals needs to scale beyond five clients to fifty.</w:t>
      </w:r>
    </w:p>
    <w:p>
      <w:pPr>
        <w:spacing w:after="80" w:before="80"/>
      </w:pPr>
      <w:r>
        <w:t xml:space="preserve"/>
      </w:r>
    </w:p>
    <w:p>
      <w:pPr>
        <w:spacing w:after="100" w:before="100"/>
        <w:jc w:val="both"/>
      </w:pPr>
      <w:r>
        <w:rPr>
          <w:rFonts w:ascii="Arial" w:cs="Arial" w:eastAsia="Arial" w:hAnsi="Arial"/>
          <w:sz w:val="21"/>
          <w:szCs w:val="21"/>
        </w:rPr>
        <w:t xml:space="preserve">This brief maps every material opportunity in the policy to Carter Digitals' existing capabilities, products, and positioning. It then lays out a concrete action plan — what to register for, who to contact, what to build, and what to say — so that Carter Digitals is not a spectator in South Africa's AI economy but a funded, contracted, credentialled participant in it.</w:t>
      </w:r>
    </w:p>
    <w:p>
      <w:pPr>
        <w:spacing w:after="80" w:before="80"/>
      </w:pPr>
      <w:r>
        <w:t xml:space="preserve"/>
      </w:r>
    </w:p>
    <w:p>
      <w:pPr>
        <w:spacing w:after="100" w:before="100"/>
        <w:jc w:val="both"/>
      </w:pPr>
      <w:r>
        <w:rPr>
          <w:rFonts w:ascii="Arial" w:cs="Arial" w:eastAsia="Arial" w:hAnsi="Arial"/>
          <w:sz w:val="21"/>
          <w:szCs w:val="21"/>
        </w:rPr>
        <w:t xml:space="preserve">The window to move is now. The comment period closes 10 June 2026. The policy finalises in 2025/26. Institutions that engage early shape the programmes that follow. Those that wait will compete for scraps in a market already carved up by better-positioned players.</w:t>
      </w:r>
    </w:p>
    <w:p>
      <w:pPr>
        <w:spacing w:after="80" w:before="80"/>
      </w:pPr>
      <w:r>
        <w:t xml:space="preserve"/>
      </w:r>
    </w:p>
    <w:p>
      <w:pPr>
        <w:pBdr>
          <w:bottom w:val="single" w:color="C8A84B" w:sz="6" w:space="1"/>
        </w:pBdr>
        <w:spacing w:after="80" w:before="80"/>
      </w:pPr>
      <w:r>
        <w:t xml:space="preserve"/>
      </w:r>
    </w:p>
    <w:p>
      <w:pPr>
        <w:spacing w:after="80" w:before="80"/>
      </w:pPr>
      <w:r>
        <w:t xml:space="preserve"/>
      </w:r>
    </w:p>
    <w:p>
      <w:r>
        <w:br w:type="page"/>
      </w:r>
    </w:p>
    <w:p>
      <w:pPr>
        <w:pStyle w:val="Heading1"/>
        <w:spacing w:after="160" w:before="400"/>
      </w:pPr>
      <w:r>
        <w:rPr>
          <w:rFonts w:ascii="Arial" w:cs="Arial" w:eastAsia="Arial" w:hAnsi="Arial"/>
          <w:b/>
          <w:bCs/>
          <w:color w:val="1A3C5E"/>
          <w:sz w:val="30"/>
          <w:szCs w:val="30"/>
        </w:rPr>
        <w:t xml:space="preserve">Part 1: The Eight Opportunities</w:t>
      </w:r>
    </w:p>
    <w:p>
      <w:pPr>
        <w:spacing w:after="100" w:before="100"/>
        <w:jc w:val="both"/>
      </w:pPr>
      <w:r>
        <w:rPr>
          <w:rFonts w:ascii="Arial" w:cs="Arial" w:eastAsia="Arial" w:hAnsi="Arial"/>
          <w:sz w:val="21"/>
          <w:szCs w:val="21"/>
        </w:rPr>
        <w:t xml:space="preserve">The policy creates eight distinct opportunity categories for Carter Digitals. Each is grounded in specific policy provisions — not wishful interpretation. Below we map each opportunity, rate it, and explain the play.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875"/>
        <w:gridCol w:w="2875"/>
        <w:gridCol w:w="2876"/>
      </w:tblGrid>
      <w:tr>
        <w:tc>
          <w:tcPr>
            <w:tcW w:type="dxa" w:w="8626"/>
            <w:gridSpan w:val="3"/>
            <w:tcBorders>
              <w:top w:val="none" w:color="FFFFFF" w:sz="0"/>
              <w:left w:val="none" w:color="FFFFFF" w:sz="0"/>
              <w:bottom w:val="none" w:color="FFFFFF" w:sz="0"/>
              <w:right w:val="none" w:color="FFFFFF" w:sz="0"/>
            </w:tcBorders>
            <w:shd w:fill="1A3C5E" w:val="clear"/>
            <w:tcMar>
              <w:top w:type="dxa" w:w="100"/>
              <w:left w:type="dxa" w:w="160"/>
              <w:bottom w:type="dxa" w:w="100"/>
              <w:right w:type="dxa" w:w="160"/>
            </w:tcMar>
          </w:tcPr>
          <w:p>
            <w:r>
              <w:rPr>
                <w:rFonts w:ascii="Arial" w:cs="Arial" w:eastAsia="Arial" w:hAnsi="Arial"/>
                <w:b/>
                <w:bCs/>
                <w:color w:val="C8A84B"/>
                <w:sz w:val="20"/>
                <w:szCs w:val="20"/>
              </w:rPr>
              <w:t xml:space="preserve">OPP 01  |  </w:t>
            </w:r>
            <w:r>
              <w:rPr>
                <w:rFonts w:ascii="Arial" w:cs="Arial" w:eastAsia="Arial" w:hAnsi="Arial"/>
                <w:b/>
                <w:bCs/>
                <w:color w:val="FFFFFF"/>
                <w:sz w:val="22"/>
                <w:szCs w:val="22"/>
              </w:rPr>
              <w:t xml:space="preserve">AI Accelerator Funding and Equity-Free Grants</w:t>
            </w:r>
          </w:p>
        </w:tc>
      </w:tr>
      <w:tr>
        <w:tc>
          <w:tcPr>
            <w:tcW w:type="dxa" w:w="287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Timeline</w:t>
            </w:r>
          </w:p>
          <w:p>
            <w:r>
              <w:rPr>
                <w:rFonts w:ascii="Arial" w:cs="Arial" w:eastAsia="Arial" w:hAnsi="Arial"/>
                <w:b/>
                <w:bCs/>
                <w:sz w:val="20"/>
                <w:szCs w:val="20"/>
              </w:rPr>
              <w:t xml:space="preserve">0–12 months</w:t>
            </w:r>
          </w:p>
        </w:tc>
        <w:tc>
          <w:tcPr>
            <w:tcW w:type="dxa" w:w="287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Effort</w:t>
            </w:r>
          </w:p>
          <w:p>
            <w:r>
              <w:rPr>
                <w:rFonts w:ascii="Arial" w:cs="Arial" w:eastAsia="Arial" w:hAnsi="Arial"/>
                <w:b/>
                <w:bCs/>
                <w:sz w:val="20"/>
                <w:szCs w:val="20"/>
              </w:rPr>
              <w:t xml:space="preserve">Low–Medium</w:t>
            </w:r>
          </w:p>
        </w:tc>
        <w:tc>
          <w:tcPr>
            <w:tcW w:type="dxa" w:w="287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Revenue Potential</w:t>
            </w:r>
          </w:p>
          <w:p>
            <w:r>
              <w:rPr>
                <w:rFonts w:ascii="Arial" w:cs="Arial" w:eastAsia="Arial" w:hAnsi="Arial"/>
                <w:b/>
                <w:bCs/>
                <w:color w:val="1A6B3C"/>
                <w:sz w:val="20"/>
                <w:szCs w:val="20"/>
              </w:rPr>
              <w:t xml:space="preserve">R50K–R500K</w:t>
            </w:r>
          </w:p>
        </w:tc>
      </w:tr>
      <w:tr>
        <w:tc>
          <w:tcPr>
            <w:tcW w:type="dxa" w:w="8626"/>
            <w:gridSpan w:val="3"/>
            <w:tcBorders>
              <w:top w:val="none" w:color="FFFFFF" w:sz="0"/>
              <w:left w:val="none" w:color="FFFFFF" w:sz="0"/>
              <w:bottom w:val="none" w:color="FFFFFF" w:sz="0"/>
              <w:right w:val="none" w:color="FFFFFF" w:sz="0"/>
            </w:tcBorders>
            <w:shd w:fill="E8F0F7" w:val="clear"/>
            <w:tcMar>
              <w:top w:type="dxa" w:w="120"/>
              <w:left w:type="dxa" w:w="160"/>
              <w:bottom w:type="dxa" w:w="120"/>
              <w:right w:type="dxa" w:w="160"/>
            </w:tcMar>
          </w:tcPr>
          <w:p>
            <w:pPr>
              <w:spacing w:after="50" w:before="50"/>
            </w:pPr>
            <w:r>
              <w:rPr>
                <w:rFonts w:ascii="Arial" w:cs="Arial" w:eastAsia="Arial" w:hAnsi="Arial"/>
                <w:sz w:val="21"/>
                <w:szCs w:val="21"/>
              </w:rPr>
              <w:t xml:space="preserve">The policy proposes AI accelerators modelled on Singapore's mentorship and funding schemes, offering equity-free funding, mentorship, and access to international investors. It explicitly names youth-owned startups as priority recipients.</w:t>
            </w:r>
          </w:p>
          <w:p>
            <w:pPr>
              <w:spacing w:after="50" w:before="50"/>
            </w:pPr>
            <w:r>
              <w:rPr>
                <w:rFonts w:ascii="Arial" w:cs="Arial" w:eastAsia="Arial" w:hAnsi="Arial"/>
                <w:sz w:val="21"/>
                <w:szCs w:val="21"/>
              </w:rPr>
              <w:t xml:space="preserve"/>
            </w:r>
          </w:p>
          <w:p>
            <w:pPr>
              <w:spacing w:after="50" w:before="50"/>
            </w:pPr>
            <w:r>
              <w:rPr>
                <w:rFonts w:ascii="Arial" w:cs="Arial" w:eastAsia="Arial" w:hAnsi="Arial"/>
                <w:sz w:val="21"/>
                <w:szCs w:val="21"/>
              </w:rPr>
              <w:t xml:space="preserve">Carter Digitals' B-BBEE L1, youth-led, township-based profile is a near-perfect match for every eligibility criterion the policy signals. The Technology Innovation Agency (TIA) and Small Enterprise Finance Agency (SEFA) will likely administer these programmes.</w:t>
            </w:r>
          </w:p>
          <w:p>
            <w:pPr>
              <w:spacing w:after="50" w:before="50"/>
            </w:pPr>
            <w:r>
              <w:rPr>
                <w:rFonts w:ascii="Arial" w:cs="Arial" w:eastAsia="Arial" w:hAnsi="Arial"/>
                <w:sz w:val="21"/>
                <w:szCs w:val="21"/>
              </w:rPr>
              <w:t xml:space="preserve"/>
            </w:r>
          </w:p>
          <w:p>
            <w:pPr>
              <w:spacing w:after="50" w:before="50"/>
            </w:pPr>
            <w:r>
              <w:rPr>
                <w:rFonts w:ascii="Arial" w:cs="Arial" w:eastAsia="Arial" w:hAnsi="Arial"/>
                <w:sz w:val="21"/>
                <w:szCs w:val="21"/>
              </w:rPr>
              <w:t xml:space="preserve">The play: Register with TIA and SEFA now. Get on their MSME mailing lists. When the accelerator programme launches, Carter Digitals submits within the first week — early applicants are overrepresented among recipients in every comparable programme.</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875"/>
        <w:gridCol w:w="2875"/>
        <w:gridCol w:w="2876"/>
      </w:tblGrid>
      <w:tr>
        <w:tc>
          <w:tcPr>
            <w:tcW w:type="dxa" w:w="8626"/>
            <w:gridSpan w:val="3"/>
            <w:tcBorders>
              <w:top w:val="none" w:color="FFFFFF" w:sz="0"/>
              <w:left w:val="none" w:color="FFFFFF" w:sz="0"/>
              <w:bottom w:val="none" w:color="FFFFFF" w:sz="0"/>
              <w:right w:val="none" w:color="FFFFFF" w:sz="0"/>
            </w:tcBorders>
            <w:shd w:fill="1A6B3C" w:val="clear"/>
            <w:tcMar>
              <w:top w:type="dxa" w:w="100"/>
              <w:left w:type="dxa" w:w="160"/>
              <w:bottom w:type="dxa" w:w="100"/>
              <w:right w:type="dxa" w:w="160"/>
            </w:tcMar>
          </w:tcPr>
          <w:p>
            <w:r>
              <w:rPr>
                <w:rFonts w:ascii="Arial" w:cs="Arial" w:eastAsia="Arial" w:hAnsi="Arial"/>
                <w:b/>
                <w:bCs/>
                <w:color w:val="C8A84B"/>
                <w:sz w:val="20"/>
                <w:szCs w:val="20"/>
              </w:rPr>
              <w:t xml:space="preserve">OPP 02  |  </w:t>
            </w:r>
            <w:r>
              <w:rPr>
                <w:rFonts w:ascii="Arial" w:cs="Arial" w:eastAsia="Arial" w:hAnsi="Arial"/>
                <w:b/>
                <w:bCs/>
                <w:color w:val="FFFFFF"/>
                <w:sz w:val="22"/>
                <w:szCs w:val="22"/>
              </w:rPr>
              <w:t xml:space="preserve">Direct Government Procurement Exemptions</w:t>
            </w:r>
          </w:p>
        </w:tc>
      </w:tr>
      <w:tr>
        <w:tc>
          <w:tcPr>
            <w:tcW w:type="dxa" w:w="287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Timeline</w:t>
            </w:r>
          </w:p>
          <w:p>
            <w:r>
              <w:rPr>
                <w:rFonts w:ascii="Arial" w:cs="Arial" w:eastAsia="Arial" w:hAnsi="Arial"/>
                <w:b/>
                <w:bCs/>
                <w:sz w:val="20"/>
                <w:szCs w:val="20"/>
              </w:rPr>
              <w:t xml:space="preserve">6–18 months</w:t>
            </w:r>
          </w:p>
        </w:tc>
        <w:tc>
          <w:tcPr>
            <w:tcW w:type="dxa" w:w="287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Effort</w:t>
            </w:r>
          </w:p>
          <w:p>
            <w:r>
              <w:rPr>
                <w:rFonts w:ascii="Arial" w:cs="Arial" w:eastAsia="Arial" w:hAnsi="Arial"/>
                <w:b/>
                <w:bCs/>
                <w:sz w:val="20"/>
                <w:szCs w:val="20"/>
              </w:rPr>
              <w:t xml:space="preserve">Medium</w:t>
            </w:r>
          </w:p>
        </w:tc>
        <w:tc>
          <w:tcPr>
            <w:tcW w:type="dxa" w:w="287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Revenue Potential</w:t>
            </w:r>
          </w:p>
          <w:p>
            <w:r>
              <w:rPr>
                <w:rFonts w:ascii="Arial" w:cs="Arial" w:eastAsia="Arial" w:hAnsi="Arial"/>
                <w:b/>
                <w:bCs/>
                <w:color w:val="1A6B3C"/>
                <w:sz w:val="20"/>
                <w:szCs w:val="20"/>
              </w:rPr>
              <w:t xml:space="preserve">R200K–R2M per contract</w:t>
            </w:r>
          </w:p>
        </w:tc>
      </w:tr>
      <w:tr>
        <w:tc>
          <w:tcPr>
            <w:tcW w:type="dxa" w:w="8626"/>
            <w:gridSpan w:val="3"/>
            <w:tcBorders>
              <w:top w:val="none" w:color="FFFFFF" w:sz="0"/>
              <w:left w:val="none" w:color="FFFFFF" w:sz="0"/>
              <w:bottom w:val="none" w:color="FFFFFF" w:sz="0"/>
              <w:right w:val="none" w:color="FFFFFF" w:sz="0"/>
            </w:tcBorders>
            <w:shd w:fill="E8F5EE" w:val="clear"/>
            <w:tcMar>
              <w:top w:type="dxa" w:w="120"/>
              <w:left w:type="dxa" w:w="160"/>
              <w:bottom w:type="dxa" w:w="120"/>
              <w:right w:type="dxa" w:w="160"/>
            </w:tcMar>
          </w:tcPr>
          <w:p>
            <w:pPr>
              <w:spacing w:after="50" w:before="50"/>
            </w:pPr>
            <w:r>
              <w:rPr>
                <w:rFonts w:ascii="Arial" w:cs="Arial" w:eastAsia="Arial" w:hAnsi="Arial"/>
                <w:sz w:val="21"/>
                <w:szCs w:val="21"/>
              </w:rPr>
              <w:t xml:space="preserve">This is the single biggest commercial opportunity in the entire policy. The draft explicitly states that government will be given legal exemptions to procure AI solutions directly from social entrepreneurs, small and medium-sized enterprises, and youth-led startups — bypassing normal tender processes.</w:t>
            </w:r>
          </w:p>
          <w:p>
            <w:pPr>
              <w:spacing w:after="50" w:before="50"/>
            </w:pPr>
            <w:r>
              <w:rPr>
                <w:rFonts w:ascii="Arial" w:cs="Arial" w:eastAsia="Arial" w:hAnsi="Arial"/>
                <w:sz w:val="21"/>
                <w:szCs w:val="21"/>
              </w:rPr>
              <w:t xml:space="preserve"/>
            </w:r>
          </w:p>
          <w:p>
            <w:pPr>
              <w:spacing w:after="50" w:before="50"/>
            </w:pPr>
            <w:r>
              <w:rPr>
                <w:rFonts w:ascii="Arial" w:cs="Arial" w:eastAsia="Arial" w:hAnsi="Arial"/>
                <w:sz w:val="21"/>
                <w:szCs w:val="21"/>
              </w:rPr>
              <w:t xml:space="preserve">For Carter Digitals, this means that a Gauteng Department of Education official who wants SkoLiga for their schools, or a clinic administrator who wants ClinicPulse, could potentially commission it directly — without the 18-month tender process that currently makes government work inaccessible to micro-agencies.</w:t>
            </w:r>
          </w:p>
          <w:p>
            <w:pPr>
              <w:spacing w:after="50" w:before="50"/>
            </w:pPr>
            <w:r>
              <w:rPr>
                <w:rFonts w:ascii="Arial" w:cs="Arial" w:eastAsia="Arial" w:hAnsi="Arial"/>
                <w:sz w:val="21"/>
                <w:szCs w:val="21"/>
              </w:rPr>
              <w:t xml:space="preserve"/>
            </w:r>
          </w:p>
          <w:p>
            <w:pPr>
              <w:spacing w:after="50" w:before="50"/>
            </w:pPr>
            <w:r>
              <w:rPr>
                <w:rFonts w:ascii="Arial" w:cs="Arial" w:eastAsia="Arial" w:hAnsi="Arial"/>
                <w:sz w:val="21"/>
                <w:szCs w:val="21"/>
              </w:rPr>
              <w:t xml:space="preserve">The play: Track the Public Procurement Act amendments that will implement these exemptions. The moment they gazette, Carter Digitals must have capability statements, pricing schedules, and CIPC/CSD registration current and ready. Build government relationships now so that when the exemptions land, you have officials ready to use them.</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875"/>
        <w:gridCol w:w="2875"/>
        <w:gridCol w:w="2876"/>
      </w:tblGrid>
      <w:tr>
        <w:tc>
          <w:tcPr>
            <w:tcW w:type="dxa" w:w="8626"/>
            <w:gridSpan w:val="3"/>
            <w:tcBorders>
              <w:top w:val="none" w:color="FFFFFF" w:sz="0"/>
              <w:left w:val="none" w:color="FFFFFF" w:sz="0"/>
              <w:bottom w:val="none" w:color="FFFFFF" w:sz="0"/>
              <w:right w:val="none" w:color="FFFFFF" w:sz="0"/>
            </w:tcBorders>
            <w:shd w:fill="C85A1A" w:val="clear"/>
            <w:tcMar>
              <w:top w:type="dxa" w:w="100"/>
              <w:left w:type="dxa" w:w="160"/>
              <w:bottom w:type="dxa" w:w="100"/>
              <w:right w:type="dxa" w:w="160"/>
            </w:tcMar>
          </w:tcPr>
          <w:p>
            <w:r>
              <w:rPr>
                <w:rFonts w:ascii="Arial" w:cs="Arial" w:eastAsia="Arial" w:hAnsi="Arial"/>
                <w:b/>
                <w:bCs/>
                <w:color w:val="C8A84B"/>
                <w:sz w:val="20"/>
                <w:szCs w:val="20"/>
              </w:rPr>
              <w:t xml:space="preserve">OPP 03  |  </w:t>
            </w:r>
            <w:r>
              <w:rPr>
                <w:rFonts w:ascii="Arial" w:cs="Arial" w:eastAsia="Arial" w:hAnsi="Arial"/>
                <w:b/>
                <w:bCs/>
                <w:color w:val="FFFFFF"/>
                <w:sz w:val="22"/>
                <w:szCs w:val="22"/>
              </w:rPr>
              <w:t xml:space="preserve">Regulatory Sandbox for Carter Digitals Products</w:t>
            </w:r>
          </w:p>
        </w:tc>
      </w:tr>
      <w:tr>
        <w:tc>
          <w:tcPr>
            <w:tcW w:type="dxa" w:w="287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Timeline</w:t>
            </w:r>
          </w:p>
          <w:p>
            <w:r>
              <w:rPr>
                <w:rFonts w:ascii="Arial" w:cs="Arial" w:eastAsia="Arial" w:hAnsi="Arial"/>
                <w:b/>
                <w:bCs/>
                <w:sz w:val="20"/>
                <w:szCs w:val="20"/>
              </w:rPr>
              <w:t xml:space="preserve">6–24 months</w:t>
            </w:r>
          </w:p>
        </w:tc>
        <w:tc>
          <w:tcPr>
            <w:tcW w:type="dxa" w:w="287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Effort</w:t>
            </w:r>
          </w:p>
          <w:p>
            <w:r>
              <w:rPr>
                <w:rFonts w:ascii="Arial" w:cs="Arial" w:eastAsia="Arial" w:hAnsi="Arial"/>
                <w:b/>
                <w:bCs/>
                <w:sz w:val="20"/>
                <w:szCs w:val="20"/>
              </w:rPr>
              <w:t xml:space="preserve">Medium</w:t>
            </w:r>
          </w:p>
        </w:tc>
        <w:tc>
          <w:tcPr>
            <w:tcW w:type="dxa" w:w="287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Revenue Potential</w:t>
            </w:r>
          </w:p>
          <w:p>
            <w:r>
              <w:rPr>
                <w:rFonts w:ascii="Arial" w:cs="Arial" w:eastAsia="Arial" w:hAnsi="Arial"/>
                <w:b/>
                <w:bCs/>
                <w:color w:val="1A6B3C"/>
                <w:sz w:val="20"/>
                <w:szCs w:val="20"/>
              </w:rPr>
              <w:t xml:space="preserve">R0 cost + validation credential</w:t>
            </w:r>
          </w:p>
        </w:tc>
      </w:tr>
      <w:tr>
        <w:tc>
          <w:tcPr>
            <w:tcW w:type="dxa" w:w="8626"/>
            <w:gridSpan w:val="3"/>
            <w:tcBorders>
              <w:top w:val="none" w:color="FFFFFF" w:sz="0"/>
              <w:left w:val="none" w:color="FFFFFF" w:sz="0"/>
              <w:bottom w:val="none" w:color="FFFFFF" w:sz="0"/>
              <w:right w:val="none" w:color="FFFFFF" w:sz="0"/>
            </w:tcBorders>
            <w:shd w:fill="FDF6E3" w:val="clear"/>
            <w:tcMar>
              <w:top w:type="dxa" w:w="120"/>
              <w:left w:type="dxa" w:w="160"/>
              <w:bottom w:type="dxa" w:w="120"/>
              <w:right w:type="dxa" w:w="160"/>
            </w:tcMar>
          </w:tcPr>
          <w:p>
            <w:pPr>
              <w:spacing w:after="50" w:before="50"/>
            </w:pPr>
            <w:r>
              <w:rPr>
                <w:rFonts w:ascii="Arial" w:cs="Arial" w:eastAsia="Arial" w:hAnsi="Arial"/>
                <w:sz w:val="21"/>
                <w:szCs w:val="21"/>
              </w:rPr>
              <w:t xml:space="preserve">The policy creates regulatory sandboxes where MSMEs can pilot AI innovations under regulatory oversight before broader deployment. Participation confers a form of government validation that is worth more than any marketing claim.</w:t>
            </w:r>
          </w:p>
          <w:p>
            <w:pPr>
              <w:spacing w:after="50" w:before="50"/>
            </w:pPr>
            <w:r>
              <w:rPr>
                <w:rFonts w:ascii="Arial" w:cs="Arial" w:eastAsia="Arial" w:hAnsi="Arial"/>
                <w:sz w:val="21"/>
                <w:szCs w:val="21"/>
              </w:rPr>
              <w:t xml:space="preserve"/>
            </w:r>
          </w:p>
          <w:p>
            <w:pPr>
              <w:spacing w:after="50" w:before="50"/>
            </w:pPr>
            <w:r>
              <w:rPr>
                <w:rFonts w:ascii="Arial" w:cs="Arial" w:eastAsia="Arial" w:hAnsi="Arial"/>
                <w:sz w:val="21"/>
                <w:szCs w:val="21"/>
              </w:rPr>
              <w:t xml:space="preserve">ClinicPulse (healthcare AI adjacent), SkoLiga (education data), and WattWise SA (utility data) all sit in policy-sensitive sectors where a sandbox credential would give Carter Digitals an enormous credibility advantage over competitors.</w:t>
            </w:r>
          </w:p>
          <w:p>
            <w:pPr>
              <w:spacing w:after="50" w:before="50"/>
            </w:pPr>
            <w:r>
              <w:rPr>
                <w:rFonts w:ascii="Arial" w:cs="Arial" w:eastAsia="Arial" w:hAnsi="Arial"/>
                <w:sz w:val="21"/>
                <w:szCs w:val="21"/>
              </w:rPr>
              <w:t xml:space="preserve"/>
            </w:r>
          </w:p>
          <w:p>
            <w:pPr>
              <w:spacing w:after="50" w:before="50"/>
            </w:pPr>
            <w:r>
              <w:rPr>
                <w:rFonts w:ascii="Arial" w:cs="Arial" w:eastAsia="Arial" w:hAnsi="Arial"/>
                <w:sz w:val="21"/>
                <w:szCs w:val="21"/>
              </w:rPr>
              <w:t xml:space="preserve">The play: Position ClinicPulse for the health sector sandbox (administered likely by CSIR or DOH) and SkoLiga for the education sector sandbox (DBE/GDE). The application should frame these products as proof-of-concept implementations of the policy's human-centred AI vision — because they genuinely are.</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875"/>
        <w:gridCol w:w="2875"/>
        <w:gridCol w:w="2876"/>
      </w:tblGrid>
      <w:tr>
        <w:tc>
          <w:tcPr>
            <w:tcW w:type="dxa" w:w="8626"/>
            <w:gridSpan w:val="3"/>
            <w:tcBorders>
              <w:top w:val="none" w:color="FFFFFF" w:sz="0"/>
              <w:left w:val="none" w:color="FFFFFF" w:sz="0"/>
              <w:bottom w:val="none" w:color="FFFFFF" w:sz="0"/>
              <w:right w:val="none" w:color="FFFFFF" w:sz="0"/>
            </w:tcBorders>
            <w:shd w:fill="1A3C5E" w:val="clear"/>
            <w:tcMar>
              <w:top w:type="dxa" w:w="100"/>
              <w:left w:type="dxa" w:w="160"/>
              <w:bottom w:type="dxa" w:w="100"/>
              <w:right w:type="dxa" w:w="160"/>
            </w:tcMar>
          </w:tcPr>
          <w:p>
            <w:r>
              <w:rPr>
                <w:rFonts w:ascii="Arial" w:cs="Arial" w:eastAsia="Arial" w:hAnsi="Arial"/>
                <w:b/>
                <w:bCs/>
                <w:color w:val="C8A84B"/>
                <w:sz w:val="20"/>
                <w:szCs w:val="20"/>
              </w:rPr>
              <w:t xml:space="preserve">OPP 04  |  </w:t>
            </w:r>
            <w:r>
              <w:rPr>
                <w:rFonts w:ascii="Arial" w:cs="Arial" w:eastAsia="Arial" w:hAnsi="Arial"/>
                <w:b/>
                <w:bCs/>
                <w:color w:val="FFFFFF"/>
                <w:sz w:val="22"/>
                <w:szCs w:val="22"/>
              </w:rPr>
              <w:t xml:space="preserve">School AI Marketplace and Voucher Programme</w:t>
            </w:r>
          </w:p>
        </w:tc>
      </w:tr>
      <w:tr>
        <w:tc>
          <w:tcPr>
            <w:tcW w:type="dxa" w:w="287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Timeline</w:t>
            </w:r>
          </w:p>
          <w:p>
            <w:r>
              <w:rPr>
                <w:rFonts w:ascii="Arial" w:cs="Arial" w:eastAsia="Arial" w:hAnsi="Arial"/>
                <w:b/>
                <w:bCs/>
                <w:sz w:val="20"/>
                <w:szCs w:val="20"/>
              </w:rPr>
              <w:t xml:space="preserve">12–30 months</w:t>
            </w:r>
          </w:p>
        </w:tc>
        <w:tc>
          <w:tcPr>
            <w:tcW w:type="dxa" w:w="287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Effort</w:t>
            </w:r>
          </w:p>
          <w:p>
            <w:r>
              <w:rPr>
                <w:rFonts w:ascii="Arial" w:cs="Arial" w:eastAsia="Arial" w:hAnsi="Arial"/>
                <w:b/>
                <w:bCs/>
                <w:sz w:val="20"/>
                <w:szCs w:val="20"/>
              </w:rPr>
              <w:t xml:space="preserve">Medium–High</w:t>
            </w:r>
          </w:p>
        </w:tc>
        <w:tc>
          <w:tcPr>
            <w:tcW w:type="dxa" w:w="287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Revenue Potential</w:t>
            </w:r>
          </w:p>
          <w:p>
            <w:r>
              <w:rPr>
                <w:rFonts w:ascii="Arial" w:cs="Arial" w:eastAsia="Arial" w:hAnsi="Arial"/>
                <w:b/>
                <w:bCs/>
                <w:color w:val="1A6B3C"/>
                <w:sz w:val="20"/>
                <w:szCs w:val="20"/>
              </w:rPr>
              <w:t xml:space="preserve">R1M–R5M (multi-school rollout)</w:t>
            </w:r>
          </w:p>
        </w:tc>
      </w:tr>
      <w:tr>
        <w:tc>
          <w:tcPr>
            <w:tcW w:type="dxa" w:w="8626"/>
            <w:gridSpan w:val="3"/>
            <w:tcBorders>
              <w:top w:val="none" w:color="FFFFFF" w:sz="0"/>
              <w:left w:val="none" w:color="FFFFFF" w:sz="0"/>
              <w:bottom w:val="none" w:color="FFFFFF" w:sz="0"/>
              <w:right w:val="none" w:color="FFFFFF" w:sz="0"/>
            </w:tcBorders>
            <w:shd w:fill="E8F0F7" w:val="clear"/>
            <w:tcMar>
              <w:top w:type="dxa" w:w="120"/>
              <w:left w:type="dxa" w:w="160"/>
              <w:bottom w:type="dxa" w:w="120"/>
              <w:right w:type="dxa" w:w="160"/>
            </w:tcMar>
          </w:tcPr>
          <w:p>
            <w:pPr>
              <w:spacing w:after="50" w:before="50"/>
            </w:pPr>
            <w:r>
              <w:rPr>
                <w:rFonts w:ascii="Arial" w:cs="Arial" w:eastAsia="Arial" w:hAnsi="Arial"/>
                <w:sz w:val="21"/>
                <w:szCs w:val="21"/>
              </w:rPr>
              <w:t xml:space="preserve">The policy mandates AI in education as a critical sector and combines this with MSME procurement preferences. This creates the conditions for a school-facing AI marketplace — a vetted catalogue of affordable tools that schools can procure without individual tenders.</w:t>
            </w:r>
          </w:p>
          <w:p>
            <w:pPr>
              <w:spacing w:after="50" w:before="50"/>
            </w:pPr>
            <w:r>
              <w:rPr>
                <w:rFonts w:ascii="Arial" w:cs="Arial" w:eastAsia="Arial" w:hAnsi="Arial"/>
                <w:sz w:val="21"/>
                <w:szCs w:val="21"/>
              </w:rPr>
              <w:t xml:space="preserve"/>
            </w:r>
          </w:p>
          <w:p>
            <w:pPr>
              <w:spacing w:after="50" w:before="50"/>
            </w:pPr>
            <w:r>
              <w:rPr>
                <w:rFonts w:ascii="Arial" w:cs="Arial" w:eastAsia="Arial" w:hAnsi="Arial"/>
                <w:sz w:val="21"/>
                <w:szCs w:val="21"/>
              </w:rPr>
              <w:t xml:space="preserve">SkoLiga is purpose-built for this. It serves schools in the Soshanguve network, manages football teams, tracks student data, and connects coaches and parents. With modest extension, it becomes a broader school operations platform — attendance, events, communications — that fits exactly the kind of tool a school marketplace would list.</w:t>
            </w:r>
          </w:p>
          <w:p>
            <w:pPr>
              <w:spacing w:after="50" w:before="50"/>
            </w:pPr>
            <w:r>
              <w:rPr>
                <w:rFonts w:ascii="Arial" w:cs="Arial" w:eastAsia="Arial" w:hAnsi="Arial"/>
                <w:sz w:val="21"/>
                <w:szCs w:val="21"/>
              </w:rPr>
              <w:t xml:space="preserve"/>
            </w:r>
          </w:p>
          <w:p>
            <w:pPr>
              <w:spacing w:after="50" w:before="50"/>
            </w:pPr>
            <w:r>
              <w:rPr>
                <w:rFonts w:ascii="Arial" w:cs="Arial" w:eastAsia="Arial" w:hAnsi="Arial"/>
                <w:sz w:val="21"/>
                <w:szCs w:val="21"/>
              </w:rPr>
              <w:t xml:space="preserve">The play: File a formal proposal with Gauteng Department of Education for SkoLiga to be piloted across five Soshanguve schools in 2026/27. Use the Soshanguve School of Specialisation (sosha-automotive.org) as the reference case. Request inclusion in any pilot marketplace the GDE establishes.</w:t>
            </w:r>
          </w:p>
        </w:tc>
      </w:tr>
    </w:tbl>
    <w:p>
      <w:pPr>
        <w:spacing w:after="80" w:before="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875"/>
        <w:gridCol w:w="2875"/>
        <w:gridCol w:w="2876"/>
      </w:tblGrid>
      <w:tr>
        <w:tc>
          <w:tcPr>
            <w:tcW w:type="dxa" w:w="8626"/>
            <w:gridSpan w:val="3"/>
            <w:tcBorders>
              <w:top w:val="none" w:color="FFFFFF" w:sz="0"/>
              <w:left w:val="none" w:color="FFFFFF" w:sz="0"/>
              <w:bottom w:val="none" w:color="FFFFFF" w:sz="0"/>
              <w:right w:val="none" w:color="FFFFFF" w:sz="0"/>
            </w:tcBorders>
            <w:shd w:fill="1A6B3C" w:val="clear"/>
            <w:tcMar>
              <w:top w:type="dxa" w:w="100"/>
              <w:left w:type="dxa" w:w="160"/>
              <w:bottom w:type="dxa" w:w="100"/>
              <w:right w:type="dxa" w:w="160"/>
            </w:tcMar>
          </w:tcPr>
          <w:p>
            <w:r>
              <w:rPr>
                <w:rFonts w:ascii="Arial" w:cs="Arial" w:eastAsia="Arial" w:hAnsi="Arial"/>
                <w:b/>
                <w:bCs/>
                <w:color w:val="C8A84B"/>
                <w:sz w:val="20"/>
                <w:szCs w:val="20"/>
              </w:rPr>
              <w:t xml:space="preserve">OPP 05  |  </w:t>
            </w:r>
            <w:r>
              <w:rPr>
                <w:rFonts w:ascii="Arial" w:cs="Arial" w:eastAsia="Arial" w:hAnsi="Arial"/>
                <w:b/>
                <w:bCs/>
                <w:color w:val="FFFFFF"/>
                <w:sz w:val="22"/>
                <w:szCs w:val="22"/>
              </w:rPr>
              <w:t xml:space="preserve">Indigenous Language AI — Grant Programme</w:t>
            </w:r>
          </w:p>
        </w:tc>
      </w:tr>
      <w:tr>
        <w:tc>
          <w:tcPr>
            <w:tcW w:type="dxa" w:w="287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Timeline</w:t>
            </w:r>
          </w:p>
          <w:p>
            <w:r>
              <w:rPr>
                <w:rFonts w:ascii="Arial" w:cs="Arial" w:eastAsia="Arial" w:hAnsi="Arial"/>
                <w:b/>
                <w:bCs/>
                <w:sz w:val="20"/>
                <w:szCs w:val="20"/>
              </w:rPr>
              <w:t xml:space="preserve">12–24 months</w:t>
            </w:r>
          </w:p>
        </w:tc>
        <w:tc>
          <w:tcPr>
            <w:tcW w:type="dxa" w:w="287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Effort</w:t>
            </w:r>
          </w:p>
          <w:p>
            <w:r>
              <w:rPr>
                <w:rFonts w:ascii="Arial" w:cs="Arial" w:eastAsia="Arial" w:hAnsi="Arial"/>
                <w:b/>
                <w:bCs/>
                <w:sz w:val="20"/>
                <w:szCs w:val="20"/>
              </w:rPr>
              <w:t xml:space="preserve">Medium</w:t>
            </w:r>
          </w:p>
        </w:tc>
        <w:tc>
          <w:tcPr>
            <w:tcW w:type="dxa" w:w="287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Revenue Potential</w:t>
            </w:r>
          </w:p>
          <w:p>
            <w:r>
              <w:rPr>
                <w:rFonts w:ascii="Arial" w:cs="Arial" w:eastAsia="Arial" w:hAnsi="Arial"/>
                <w:b/>
                <w:bCs/>
                <w:color w:val="1A6B3C"/>
                <w:sz w:val="20"/>
                <w:szCs w:val="20"/>
              </w:rPr>
              <w:t xml:space="preserve">R100K–R800K grant funding</w:t>
            </w:r>
          </w:p>
        </w:tc>
      </w:tr>
      <w:tr>
        <w:tc>
          <w:tcPr>
            <w:tcW w:type="dxa" w:w="8626"/>
            <w:gridSpan w:val="3"/>
            <w:tcBorders>
              <w:top w:val="none" w:color="FFFFFF" w:sz="0"/>
              <w:left w:val="none" w:color="FFFFFF" w:sz="0"/>
              <w:bottom w:val="none" w:color="FFFFFF" w:sz="0"/>
              <w:right w:val="none" w:color="FFFFFF" w:sz="0"/>
            </w:tcBorders>
            <w:shd w:fill="E8F5EE" w:val="clear"/>
            <w:tcMar>
              <w:top w:type="dxa" w:w="120"/>
              <w:left w:type="dxa" w:w="160"/>
              <w:bottom w:type="dxa" w:w="120"/>
              <w:right w:type="dxa" w:w="160"/>
            </w:tcMar>
          </w:tcPr>
          <w:p>
            <w:pPr>
              <w:spacing w:after="50" w:before="50"/>
            </w:pPr>
            <w:r>
              <w:rPr>
                <w:rFonts w:ascii="Arial" w:cs="Arial" w:eastAsia="Arial" w:hAnsi="Arial"/>
                <w:sz w:val="21"/>
                <w:szCs w:val="21"/>
              </w:rPr>
              <w:t xml:space="preserve">The policy makes African language AI a strategic national priority. It calls for real-time translation in all 12 official languages, language model development for underserved languages, and awards and grants for qualifying projects. This is a carve-out with Carter Digitals' name on it.</w:t>
            </w:r>
          </w:p>
          <w:p>
            <w:pPr>
              <w:spacing w:after="50" w:before="50"/>
            </w:pPr>
            <w:r>
              <w:rPr>
                <w:rFonts w:ascii="Arial" w:cs="Arial" w:eastAsia="Arial" w:hAnsi="Arial"/>
                <w:sz w:val="21"/>
                <w:szCs w:val="21"/>
              </w:rPr>
              <w:t xml:space="preserve"/>
            </w:r>
          </w:p>
          <w:p>
            <w:pPr>
              <w:spacing w:after="50" w:before="50"/>
            </w:pPr>
            <w:r>
              <w:rPr>
                <w:rFonts w:ascii="Arial" w:cs="Arial" w:eastAsia="Arial" w:hAnsi="Arial"/>
                <w:sz w:val="21"/>
                <w:szCs w:val="21"/>
              </w:rPr>
              <w:t xml:space="preserve">Carter Digitals is physically located in a Sepedi and Setswana-dominant community. Building a WhatsApp-based AI assistant that answers school or clinic queries in Sepedi, Setswana, or isiZulu — languages that current AI tools handle poorly — would be both commercially valuable and grant-fundable.</w:t>
            </w:r>
          </w:p>
          <w:p>
            <w:pPr>
              <w:spacing w:after="50" w:before="50"/>
            </w:pPr>
            <w:r>
              <w:rPr>
                <w:rFonts w:ascii="Arial" w:cs="Arial" w:eastAsia="Arial" w:hAnsi="Arial"/>
                <w:sz w:val="21"/>
                <w:szCs w:val="21"/>
              </w:rPr>
              <w:t xml:space="preserve"/>
            </w:r>
          </w:p>
          <w:p>
            <w:pPr>
              <w:spacing w:after="50" w:before="50"/>
            </w:pPr>
            <w:r>
              <w:rPr>
                <w:rFonts w:ascii="Arial" w:cs="Arial" w:eastAsia="Arial" w:hAnsi="Arial"/>
                <w:sz w:val="21"/>
                <w:szCs w:val="21"/>
              </w:rPr>
              <w:t xml:space="preserve">The play: Scope and prototype a multilingual WhatsApp AI product (an extension of ClinicPulse or a standalone community information bot). Apply to DCDT language preservation grants and DSTI innovation grants once the programmes open. Partner with a university linguistics department for credibility.</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875"/>
        <w:gridCol w:w="2875"/>
        <w:gridCol w:w="2876"/>
      </w:tblGrid>
      <w:tr>
        <w:tc>
          <w:tcPr>
            <w:tcW w:type="dxa" w:w="8626"/>
            <w:gridSpan w:val="3"/>
            <w:tcBorders>
              <w:top w:val="none" w:color="FFFFFF" w:sz="0"/>
              <w:left w:val="none" w:color="FFFFFF" w:sz="0"/>
              <w:bottom w:val="none" w:color="FFFFFF" w:sz="0"/>
              <w:right w:val="none" w:color="FFFFFF" w:sz="0"/>
            </w:tcBorders>
            <w:shd w:fill="C85A1A" w:val="clear"/>
            <w:tcMar>
              <w:top w:type="dxa" w:w="100"/>
              <w:left w:type="dxa" w:w="160"/>
              <w:bottom w:type="dxa" w:w="100"/>
              <w:right w:type="dxa" w:w="160"/>
            </w:tcMar>
          </w:tcPr>
          <w:p>
            <w:r>
              <w:rPr>
                <w:rFonts w:ascii="Arial" w:cs="Arial" w:eastAsia="Arial" w:hAnsi="Arial"/>
                <w:b/>
                <w:bCs/>
                <w:color w:val="C8A84B"/>
                <w:sz w:val="20"/>
                <w:szCs w:val="20"/>
              </w:rPr>
              <w:t xml:space="preserve">OPP 06  |  </w:t>
            </w:r>
            <w:r>
              <w:rPr>
                <w:rFonts w:ascii="Arial" w:cs="Arial" w:eastAsia="Arial" w:hAnsi="Arial"/>
                <w:b/>
                <w:bCs/>
                <w:color w:val="FFFFFF"/>
                <w:sz w:val="22"/>
                <w:szCs w:val="22"/>
              </w:rPr>
              <w:t xml:space="preserve">Public Sector AI Digitalisation Contracts</w:t>
            </w:r>
          </w:p>
        </w:tc>
      </w:tr>
      <w:tr>
        <w:tc>
          <w:tcPr>
            <w:tcW w:type="dxa" w:w="287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Timeline</w:t>
            </w:r>
          </w:p>
          <w:p>
            <w:r>
              <w:rPr>
                <w:rFonts w:ascii="Arial" w:cs="Arial" w:eastAsia="Arial" w:hAnsi="Arial"/>
                <w:b/>
                <w:bCs/>
                <w:sz w:val="20"/>
                <w:szCs w:val="20"/>
              </w:rPr>
              <w:t xml:space="preserve">18–36 months</w:t>
            </w:r>
          </w:p>
        </w:tc>
        <w:tc>
          <w:tcPr>
            <w:tcW w:type="dxa" w:w="287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Effort</w:t>
            </w:r>
          </w:p>
          <w:p>
            <w:r>
              <w:rPr>
                <w:rFonts w:ascii="Arial" w:cs="Arial" w:eastAsia="Arial" w:hAnsi="Arial"/>
                <w:b/>
                <w:bCs/>
                <w:sz w:val="20"/>
                <w:szCs w:val="20"/>
              </w:rPr>
              <w:t xml:space="preserve">High</w:t>
            </w:r>
          </w:p>
        </w:tc>
        <w:tc>
          <w:tcPr>
            <w:tcW w:type="dxa" w:w="287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Revenue Potential</w:t>
            </w:r>
          </w:p>
          <w:p>
            <w:r>
              <w:rPr>
                <w:rFonts w:ascii="Arial" w:cs="Arial" w:eastAsia="Arial" w:hAnsi="Arial"/>
                <w:b/>
                <w:bCs/>
                <w:color w:val="1A6B3C"/>
                <w:sz w:val="20"/>
                <w:szCs w:val="20"/>
              </w:rPr>
              <w:t xml:space="preserve">R500K–R5M per contract</w:t>
            </w:r>
          </w:p>
        </w:tc>
      </w:tr>
      <w:tr>
        <w:tc>
          <w:tcPr>
            <w:tcW w:type="dxa" w:w="8626"/>
            <w:gridSpan w:val="3"/>
            <w:tcBorders>
              <w:top w:val="none" w:color="FFFFFF" w:sz="0"/>
              <w:left w:val="none" w:color="FFFFFF" w:sz="0"/>
              <w:bottom w:val="none" w:color="FFFFFF" w:sz="0"/>
              <w:right w:val="none" w:color="FFFFFF" w:sz="0"/>
            </w:tcBorders>
            <w:shd w:fill="FDF6E3" w:val="clear"/>
            <w:tcMar>
              <w:top w:type="dxa" w:w="120"/>
              <w:left w:type="dxa" w:w="160"/>
              <w:bottom w:type="dxa" w:w="120"/>
              <w:right w:type="dxa" w:w="160"/>
            </w:tcMar>
          </w:tcPr>
          <w:p>
            <w:pPr>
              <w:spacing w:after="50" w:before="50"/>
            </w:pPr>
            <w:r>
              <w:rPr>
                <w:rFonts w:ascii="Arial" w:cs="Arial" w:eastAsia="Arial" w:hAnsi="Arial"/>
                <w:sz w:val="21"/>
                <w:szCs w:val="21"/>
              </w:rPr>
              <w:t xml:space="preserve">The policy commits to AI in public administration: chatbots, predictive analytics, planning tools, and service delivery dashboards. It recommends a whole-of-government approach with pilot projects in healthcare, education, and urban planning.</w:t>
            </w:r>
          </w:p>
          <w:p>
            <w:pPr>
              <w:spacing w:after="50" w:before="50"/>
            </w:pPr>
            <w:r>
              <w:rPr>
                <w:rFonts w:ascii="Arial" w:cs="Arial" w:eastAsia="Arial" w:hAnsi="Arial"/>
                <w:sz w:val="21"/>
                <w:szCs w:val="21"/>
              </w:rPr>
              <w:t xml:space="preserve"/>
            </w:r>
          </w:p>
          <w:p>
            <w:pPr>
              <w:spacing w:after="50" w:before="50"/>
            </w:pPr>
            <w:r>
              <w:rPr>
                <w:rFonts w:ascii="Arial" w:cs="Arial" w:eastAsia="Arial" w:hAnsi="Arial"/>
                <w:sz w:val="21"/>
                <w:szCs w:val="21"/>
              </w:rPr>
              <w:t xml:space="preserve">Carter Digitals already builds these things — dashboards, booking systems, stock trackers, staff portals. The difference is labelling and positioning. A stock tracker becomes a supply chain analytics tool. A staff portal becomes an HR and workforce management platform. A booking system becomes a citizen service scheduling interface.</w:t>
            </w:r>
          </w:p>
          <w:p>
            <w:pPr>
              <w:spacing w:after="50" w:before="50"/>
            </w:pPr>
            <w:r>
              <w:rPr>
                <w:rFonts w:ascii="Arial" w:cs="Arial" w:eastAsia="Arial" w:hAnsi="Arial"/>
                <w:sz w:val="21"/>
                <w:szCs w:val="21"/>
              </w:rPr>
              <w:t xml:space="preserve"/>
            </w:r>
          </w:p>
          <w:p>
            <w:pPr>
              <w:spacing w:after="50" w:before="50"/>
            </w:pPr>
            <w:r>
              <w:rPr>
                <w:rFonts w:ascii="Arial" w:cs="Arial" w:eastAsia="Arial" w:hAnsi="Arial"/>
                <w:sz w:val="21"/>
                <w:szCs w:val="21"/>
              </w:rPr>
              <w:t xml:space="preserve">The play: Reframe two or three existing products as public sector AI tools in a government-facing capability statement. Target Tshwane Metropolitan Municipality (home turf), Gauteng Department of Health, and Gauteng Department of Education as first-mover clients. Use the DBSA enterprise track (TF-ICRE) profile to demonstrate that Carter Digitals can operate at institutional scale.</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875"/>
        <w:gridCol w:w="2875"/>
        <w:gridCol w:w="2876"/>
      </w:tblGrid>
      <w:tr>
        <w:tc>
          <w:tcPr>
            <w:tcW w:type="dxa" w:w="8626"/>
            <w:gridSpan w:val="3"/>
            <w:tcBorders>
              <w:top w:val="none" w:color="FFFFFF" w:sz="0"/>
              <w:left w:val="none" w:color="FFFFFF" w:sz="0"/>
              <w:bottom w:val="none" w:color="FFFFFF" w:sz="0"/>
              <w:right w:val="none" w:color="FFFFFF" w:sz="0"/>
            </w:tcBorders>
            <w:shd w:fill="1A3C5E" w:val="clear"/>
            <w:tcMar>
              <w:top w:type="dxa" w:w="100"/>
              <w:left w:type="dxa" w:w="160"/>
              <w:bottom w:type="dxa" w:w="100"/>
              <w:right w:type="dxa" w:w="160"/>
            </w:tcMar>
          </w:tcPr>
          <w:p>
            <w:r>
              <w:rPr>
                <w:rFonts w:ascii="Arial" w:cs="Arial" w:eastAsia="Arial" w:hAnsi="Arial"/>
                <w:b/>
                <w:bCs/>
                <w:color w:val="C8A84B"/>
                <w:sz w:val="20"/>
                <w:szCs w:val="20"/>
              </w:rPr>
              <w:t xml:space="preserve">OPP 07  |  </w:t>
            </w:r>
            <w:r>
              <w:rPr>
                <w:rFonts w:ascii="Arial" w:cs="Arial" w:eastAsia="Arial" w:hAnsi="Arial"/>
                <w:b/>
                <w:bCs/>
                <w:color w:val="FFFFFF"/>
                <w:sz w:val="22"/>
                <w:szCs w:val="22"/>
              </w:rPr>
              <w:t xml:space="preserve">AI Maturity Assessment and Compliance Consulting</w:t>
            </w:r>
          </w:p>
        </w:tc>
      </w:tr>
      <w:tr>
        <w:tc>
          <w:tcPr>
            <w:tcW w:type="dxa" w:w="287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Timeline</w:t>
            </w:r>
          </w:p>
          <w:p>
            <w:r>
              <w:rPr>
                <w:rFonts w:ascii="Arial" w:cs="Arial" w:eastAsia="Arial" w:hAnsi="Arial"/>
                <w:b/>
                <w:bCs/>
                <w:sz w:val="20"/>
                <w:szCs w:val="20"/>
              </w:rPr>
              <w:t xml:space="preserve">6–18 months</w:t>
            </w:r>
          </w:p>
        </w:tc>
        <w:tc>
          <w:tcPr>
            <w:tcW w:type="dxa" w:w="287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Effort</w:t>
            </w:r>
          </w:p>
          <w:p>
            <w:r>
              <w:rPr>
                <w:rFonts w:ascii="Arial" w:cs="Arial" w:eastAsia="Arial" w:hAnsi="Arial"/>
                <w:b/>
                <w:bCs/>
                <w:sz w:val="20"/>
                <w:szCs w:val="20"/>
              </w:rPr>
              <w:t xml:space="preserve">Low</w:t>
            </w:r>
          </w:p>
        </w:tc>
        <w:tc>
          <w:tcPr>
            <w:tcW w:type="dxa" w:w="287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Revenue Potential</w:t>
            </w:r>
          </w:p>
          <w:p>
            <w:r>
              <w:rPr>
                <w:rFonts w:ascii="Arial" w:cs="Arial" w:eastAsia="Arial" w:hAnsi="Arial"/>
                <w:b/>
                <w:bCs/>
                <w:color w:val="1A6B3C"/>
                <w:sz w:val="20"/>
                <w:szCs w:val="20"/>
              </w:rPr>
              <w:t xml:space="preserve">R20K–R150K per engagement</w:t>
            </w:r>
          </w:p>
        </w:tc>
      </w:tr>
      <w:tr>
        <w:tc>
          <w:tcPr>
            <w:tcW w:type="dxa" w:w="8626"/>
            <w:gridSpan w:val="3"/>
            <w:tcBorders>
              <w:top w:val="none" w:color="FFFFFF" w:sz="0"/>
              <w:left w:val="none" w:color="FFFFFF" w:sz="0"/>
              <w:bottom w:val="none" w:color="FFFFFF" w:sz="0"/>
              <w:right w:val="none" w:color="FFFFFF" w:sz="0"/>
            </w:tcBorders>
            <w:shd w:fill="E8F0F7" w:val="clear"/>
            <w:tcMar>
              <w:top w:type="dxa" w:w="120"/>
              <w:left w:type="dxa" w:w="160"/>
              <w:bottom w:type="dxa" w:w="120"/>
              <w:right w:type="dxa" w:w="160"/>
            </w:tcMar>
          </w:tcPr>
          <w:p>
            <w:pPr>
              <w:spacing w:after="50" w:before="50"/>
            </w:pPr>
            <w:r>
              <w:rPr>
                <w:rFonts w:ascii="Arial" w:cs="Arial" w:eastAsia="Arial" w:hAnsi="Arial"/>
                <w:sz w:val="21"/>
                <w:szCs w:val="21"/>
              </w:rPr>
              <w:t xml:space="preserve">The policy mandates National AI Maturity Assessment Indexing across all sectors, POPIA-AI compliance frameworks, algorithmic impact assessments, and bias testing. Every organisation deploying AI will need someone to help them do this.</w:t>
            </w:r>
          </w:p>
          <w:p>
            <w:pPr>
              <w:spacing w:after="50" w:before="50"/>
            </w:pPr>
            <w:r>
              <w:rPr>
                <w:rFonts w:ascii="Arial" w:cs="Arial" w:eastAsia="Arial" w:hAnsi="Arial"/>
                <w:sz w:val="21"/>
                <w:szCs w:val="21"/>
              </w:rPr>
              <w:t xml:space="preserve"/>
            </w:r>
          </w:p>
          <w:p>
            <w:pPr>
              <w:spacing w:after="50" w:before="50"/>
            </w:pPr>
            <w:r>
              <w:rPr>
                <w:rFonts w:ascii="Arial" w:cs="Arial" w:eastAsia="Arial" w:hAnsi="Arial"/>
                <w:sz w:val="21"/>
                <w:szCs w:val="21"/>
              </w:rPr>
              <w:t xml:space="preserve">Carter Digitals already advises clients on digital infrastructure. Adding an AI compliance and readiness assessment offering — a structured audit of a school, clinic, or SME's AI readiness, POPIA compliance gaps, and ethical AI checklist — is a low-cost, high-value service extension.</w:t>
            </w:r>
          </w:p>
          <w:p>
            <w:pPr>
              <w:spacing w:after="50" w:before="50"/>
            </w:pPr>
            <w:r>
              <w:rPr>
                <w:rFonts w:ascii="Arial" w:cs="Arial" w:eastAsia="Arial" w:hAnsi="Arial"/>
                <w:sz w:val="21"/>
                <w:szCs w:val="21"/>
              </w:rPr>
              <w:t xml:space="preserve"/>
            </w:r>
          </w:p>
          <w:p>
            <w:pPr>
              <w:spacing w:after="50" w:before="50"/>
            </w:pPr>
            <w:r>
              <w:rPr>
                <w:rFonts w:ascii="Arial" w:cs="Arial" w:eastAsia="Arial" w:hAnsi="Arial"/>
                <w:sz w:val="21"/>
                <w:szCs w:val="21"/>
              </w:rPr>
              <w:t xml:space="preserve">The play: Build a one-page AI Readiness Audit product. Price it at R8,500 for SMEs, R15,000 for schools and clinics. Bundle it with website and digital tool packages as an upsell. Position it as the first step before any AI product implementation.</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875"/>
        <w:gridCol w:w="2875"/>
        <w:gridCol w:w="2876"/>
      </w:tblGrid>
      <w:tr>
        <w:tc>
          <w:tcPr>
            <w:tcW w:type="dxa" w:w="8626"/>
            <w:gridSpan w:val="3"/>
            <w:tcBorders>
              <w:top w:val="none" w:color="FFFFFF" w:sz="0"/>
              <w:left w:val="none" w:color="FFFFFF" w:sz="0"/>
              <w:bottom w:val="none" w:color="FFFFFF" w:sz="0"/>
              <w:right w:val="none" w:color="FFFFFF" w:sz="0"/>
            </w:tcBorders>
            <w:shd w:fill="1A6B3C" w:val="clear"/>
            <w:tcMar>
              <w:top w:type="dxa" w:w="100"/>
              <w:left w:type="dxa" w:w="160"/>
              <w:bottom w:type="dxa" w:w="100"/>
              <w:right w:type="dxa" w:w="160"/>
            </w:tcMar>
          </w:tcPr>
          <w:p>
            <w:r>
              <w:rPr>
                <w:rFonts w:ascii="Arial" w:cs="Arial" w:eastAsia="Arial" w:hAnsi="Arial"/>
                <w:b/>
                <w:bCs/>
                <w:color w:val="C8A84B"/>
                <w:sz w:val="20"/>
                <w:szCs w:val="20"/>
              </w:rPr>
              <w:t xml:space="preserve">OPP 08  |  </w:t>
            </w:r>
            <w:r>
              <w:rPr>
                <w:rFonts w:ascii="Arial" w:cs="Arial" w:eastAsia="Arial" w:hAnsi="Arial"/>
                <w:b/>
                <w:bCs/>
                <w:color w:val="FFFFFF"/>
                <w:sz w:val="22"/>
                <w:szCs w:val="22"/>
              </w:rPr>
              <w:t xml:space="preserve">B-BBEE Level 1 Procurement Premium</w:t>
            </w:r>
          </w:p>
        </w:tc>
      </w:tr>
      <w:tr>
        <w:tc>
          <w:tcPr>
            <w:tcW w:type="dxa" w:w="287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Timeline</w:t>
            </w:r>
          </w:p>
          <w:p>
            <w:r>
              <w:rPr>
                <w:rFonts w:ascii="Arial" w:cs="Arial" w:eastAsia="Arial" w:hAnsi="Arial"/>
                <w:b/>
                <w:bCs/>
                <w:sz w:val="20"/>
                <w:szCs w:val="20"/>
              </w:rPr>
              <w:t xml:space="preserve">Immediate</w:t>
            </w:r>
          </w:p>
        </w:tc>
        <w:tc>
          <w:tcPr>
            <w:tcW w:type="dxa" w:w="2875"/>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Effort</w:t>
            </w:r>
          </w:p>
          <w:p>
            <w:r>
              <w:rPr>
                <w:rFonts w:ascii="Arial" w:cs="Arial" w:eastAsia="Arial" w:hAnsi="Arial"/>
                <w:b/>
                <w:bCs/>
                <w:sz w:val="20"/>
                <w:szCs w:val="20"/>
              </w:rPr>
              <w:t xml:space="preserve">None</w:t>
            </w:r>
          </w:p>
        </w:tc>
        <w:tc>
          <w:tcPr>
            <w:tcW w:type="dxa" w:w="287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Revenue Potential</w:t>
            </w:r>
          </w:p>
          <w:p>
            <w:r>
              <w:rPr>
                <w:rFonts w:ascii="Arial" w:cs="Arial" w:eastAsia="Arial" w:hAnsi="Arial"/>
                <w:b/>
                <w:bCs/>
                <w:color w:val="1A6B3C"/>
                <w:sz w:val="20"/>
                <w:szCs w:val="20"/>
              </w:rPr>
              <w:t xml:space="preserve">15–30% price premium justified</w:t>
            </w:r>
          </w:p>
        </w:tc>
      </w:tr>
      <w:tr>
        <w:tc>
          <w:tcPr>
            <w:tcW w:type="dxa" w:w="8626"/>
            <w:gridSpan w:val="3"/>
            <w:tcBorders>
              <w:top w:val="none" w:color="FFFFFF" w:sz="0"/>
              <w:left w:val="none" w:color="FFFFFF" w:sz="0"/>
              <w:bottom w:val="none" w:color="FFFFFF" w:sz="0"/>
              <w:right w:val="none" w:color="FFFFFF" w:sz="0"/>
            </w:tcBorders>
            <w:shd w:fill="E8F5EE" w:val="clear"/>
            <w:tcMar>
              <w:top w:type="dxa" w:w="120"/>
              <w:left w:type="dxa" w:w="160"/>
              <w:bottom w:type="dxa" w:w="120"/>
              <w:right w:type="dxa" w:w="160"/>
            </w:tcMar>
          </w:tcPr>
          <w:p>
            <w:pPr>
              <w:spacing w:after="50" w:before="50"/>
            </w:pPr>
            <w:r>
              <w:rPr>
                <w:rFonts w:ascii="Arial" w:cs="Arial" w:eastAsia="Arial" w:hAnsi="Arial"/>
                <w:sz w:val="21"/>
                <w:szCs w:val="21"/>
              </w:rPr>
              <w:t xml:space="preserve">This is not a new opportunity — it has always existed. But the AI policy amplifies it. The policy explicitly frames procurement from B-BBEE Level 1 youth-owned MSMEs as a transformation act, not merely a compliance tick. Government clients who procure from Carter Digitals are not just buying software — they are demonstrating commitment to the policy's inclusive AI vision.</w:t>
            </w:r>
          </w:p>
          <w:p>
            <w:pPr>
              <w:spacing w:after="50" w:before="50"/>
            </w:pPr>
            <w:r>
              <w:rPr>
                <w:rFonts w:ascii="Arial" w:cs="Arial" w:eastAsia="Arial" w:hAnsi="Arial"/>
                <w:sz w:val="21"/>
                <w:szCs w:val="21"/>
              </w:rPr>
              <w:t xml:space="preserve"/>
            </w:r>
          </w:p>
          <w:p>
            <w:pPr>
              <w:spacing w:after="50" w:before="50"/>
            </w:pPr>
            <w:r>
              <w:rPr>
                <w:rFonts w:ascii="Arial" w:cs="Arial" w:eastAsia="Arial" w:hAnsi="Arial"/>
                <w:sz w:val="21"/>
                <w:szCs w:val="21"/>
              </w:rPr>
              <w:t xml:space="preserve">Carter Digitals' B-BBEE profile (135% procurement recognition) means that every rand spent with Carter Digitals counts as R1.35 toward the client's B-BBEE scorecard. In competitive procurement, this is a structural price advantage.</w:t>
            </w:r>
          </w:p>
          <w:p>
            <w:pPr>
              <w:spacing w:after="50" w:before="50"/>
            </w:pPr>
            <w:r>
              <w:rPr>
                <w:rFonts w:ascii="Arial" w:cs="Arial" w:eastAsia="Arial" w:hAnsi="Arial"/>
                <w:sz w:val="21"/>
                <w:szCs w:val="21"/>
              </w:rPr>
              <w:t xml:space="preserve"/>
            </w:r>
          </w:p>
          <w:p>
            <w:pPr>
              <w:spacing w:after="50" w:before="50"/>
            </w:pPr>
            <w:r>
              <w:rPr>
                <w:rFonts w:ascii="Arial" w:cs="Arial" w:eastAsia="Arial" w:hAnsi="Arial"/>
                <w:sz w:val="21"/>
                <w:szCs w:val="21"/>
              </w:rPr>
              <w:t xml:space="preserve">The play: Lead every government and enterprise proposal with the B-BBEE transformation value. Create a one-page B-BBEE Impact Statement that quantifies the procurement recognition benefit for the client. Include it in every RFP response and capability statement.</w:t>
            </w:r>
          </w:p>
        </w:tc>
      </w:tr>
    </w:tbl>
    <w:p>
      <w:pPr>
        <w:spacing w:after="80" w:before="80"/>
      </w:pPr>
      <w:r>
        <w:t xml:space="preserve"/>
      </w:r>
    </w:p>
    <w:p>
      <w:pPr>
        <w:pBdr>
          <w:bottom w:val="single" w:color="C8A84B" w:sz="6" w:space="1"/>
        </w:pBdr>
        <w:spacing w:after="80" w:before="80"/>
      </w:pPr>
      <w:r>
        <w:t xml:space="preserve"/>
      </w:r>
    </w:p>
    <w:p>
      <w:pPr>
        <w:spacing w:after="80" w:before="80"/>
      </w:pPr>
      <w:r>
        <w:t xml:space="preserve"/>
      </w:r>
    </w:p>
    <w:p>
      <w:r>
        <w:br w:type="page"/>
      </w:r>
    </w:p>
    <w:p>
      <w:pPr>
        <w:pStyle w:val="Heading1"/>
        <w:spacing w:after="160" w:before="400"/>
      </w:pPr>
      <w:r>
        <w:rPr>
          <w:rFonts w:ascii="Arial" w:cs="Arial" w:eastAsia="Arial" w:hAnsi="Arial"/>
          <w:b/>
          <w:bCs/>
          <w:color w:val="1A3C5E"/>
          <w:sz w:val="30"/>
          <w:szCs w:val="30"/>
        </w:rPr>
        <w:t xml:space="preserve">Part 2: How to Position with Government Programmes</w:t>
      </w:r>
    </w:p>
    <w:p>
      <w:pPr>
        <w:spacing w:after="100" w:before="100"/>
        <w:jc w:val="both"/>
      </w:pPr>
      <w:r>
        <w:rPr>
          <w:rFonts w:ascii="Arial" w:cs="Arial" w:eastAsia="Arial" w:hAnsi="Arial"/>
          <w:sz w:val="21"/>
          <w:szCs w:val="21"/>
        </w:rPr>
        <w:t xml:space="preserve">Knowing the opportunities is not enough. The question is how Carter Digitals gets into rooms, onto registers, and in front of decision-makers before competitors do. This section maps the five positioning tracks.</w:t>
      </w:r>
    </w:p>
    <w:p>
      <w:pPr>
        <w:spacing w:after="80" w:before="80"/>
      </w:pPr>
      <w:r>
        <w:t xml:space="preserve"/>
      </w:r>
    </w:p>
    <w:p>
      <w:pPr>
        <w:pStyle w:val="Heading2"/>
        <w:spacing w:after="120" w:before="280"/>
      </w:pPr>
      <w:r>
        <w:rPr>
          <w:rFonts w:ascii="Arial" w:cs="Arial" w:eastAsia="Arial" w:hAnsi="Arial"/>
          <w:b/>
          <w:bCs/>
          <w:color w:val="1A3C5E"/>
          <w:sz w:val="24"/>
          <w:szCs w:val="24"/>
        </w:rPr>
        <w:t xml:space="preserve">Track 1: Get Registered on Every Government Supplier Database</w:t>
      </w:r>
    </w:p>
    <w:p>
      <w:pPr>
        <w:spacing w:after="100" w:before="100"/>
        <w:jc w:val="both"/>
      </w:pPr>
      <w:r>
        <w:rPr>
          <w:rFonts w:ascii="Arial" w:cs="Arial" w:eastAsia="Arial" w:hAnsi="Arial"/>
          <w:sz w:val="21"/>
          <w:szCs w:val="21"/>
        </w:rPr>
        <w:t xml:space="preserve">Government cannot legally pay Carter Digitals for anything unless Carter Digitals is on the right registers. This is non-negotiable and must happen before any other positioning work.</w:t>
      </w:r>
    </w:p>
    <w:p>
      <w:pPr>
        <w:spacing w:after="80" w:before="8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8F0F7" w:val="clear"/>
            <w:tcMar>
              <w:top w:type="dxa" w:w="160"/>
              <w:left w:type="dxa" w:w="200"/>
              <w:bottom w:type="dxa" w:w="160"/>
              <w:right w:type="dxa" w:w="200"/>
            </w:tcMar>
          </w:tcPr>
          <w:p>
            <w:pPr>
              <w:spacing w:after="80" w:before="0"/>
            </w:pPr>
            <w:r>
              <w:rPr>
                <w:rFonts w:ascii="Arial" w:cs="Arial" w:eastAsia="Arial" w:hAnsi="Arial"/>
                <w:b/>
                <w:bCs/>
                <w:color w:val="1A3C5E"/>
                <w:sz w:val="22"/>
                <w:szCs w:val="22"/>
              </w:rPr>
              <w:t xml:space="preserve">Action Required — Complete Within 30 Days</w:t>
            </w:r>
          </w:p>
          <w:p>
            <w:pPr>
              <w:spacing w:after="40" w:before="40"/>
            </w:pPr>
            <w:r>
              <w:rPr>
                <w:rFonts w:ascii="Arial" w:cs="Arial" w:eastAsia="Arial" w:hAnsi="Arial"/>
                <w:sz w:val="21"/>
                <w:szCs w:val="21"/>
              </w:rPr>
              <w:t xml:space="preserve">CSD (Central Supplier Database): Already registered. Verify profile is current and tax compliance certificate is valid.</w:t>
            </w:r>
          </w:p>
          <w:p>
            <w:pPr>
              <w:spacing w:after="40" w:before="40"/>
            </w:pPr>
            <w:r>
              <w:rPr>
                <w:rFonts w:ascii="Arial" w:cs="Arial" w:eastAsia="Arial" w:hAnsi="Arial"/>
                <w:sz w:val="21"/>
                <w:szCs w:val="21"/>
              </w:rPr>
              <w:t xml:space="preserve">TIA (Technology Innovation Agency) Supplier Register: Register at tia.org.za — this is the primary route to AI innovation funding.</w:t>
            </w:r>
          </w:p>
          <w:p>
            <w:pPr>
              <w:spacing w:after="40" w:before="40"/>
            </w:pPr>
            <w:r>
              <w:rPr>
                <w:rFonts w:ascii="Arial" w:cs="Arial" w:eastAsia="Arial" w:hAnsi="Arial"/>
                <w:sz w:val="21"/>
                <w:szCs w:val="21"/>
              </w:rPr>
              <w:t xml:space="preserve">SEFA (Small Enterprise Finance Agency): Register as a qualifying MSME for bridging finance and grant eligibility.</w:t>
            </w:r>
          </w:p>
          <w:p>
            <w:pPr>
              <w:spacing w:after="40" w:before="40"/>
            </w:pPr>
            <w:r>
              <w:rPr>
                <w:rFonts w:ascii="Arial" w:cs="Arial" w:eastAsia="Arial" w:hAnsi="Arial"/>
                <w:sz w:val="21"/>
                <w:szCs w:val="21"/>
              </w:rPr>
              <w:t xml:space="preserve">SEDA (Small Enterprise Development Agency): Register — they run the township enterprise support programmes.</w:t>
            </w:r>
          </w:p>
          <w:p>
            <w:pPr>
              <w:spacing w:after="40" w:before="40"/>
            </w:pPr>
            <w:r>
              <w:rPr>
                <w:rFonts w:ascii="Arial" w:cs="Arial" w:eastAsia="Arial" w:hAnsi="Arial"/>
                <w:sz w:val="21"/>
                <w:szCs w:val="21"/>
              </w:rPr>
              <w:t xml:space="preserve">Gauteng Department of Education Supplier List: Contact GDE Procurement directly. Request inclusion on the IT and digital services supplier list.</w:t>
            </w:r>
          </w:p>
          <w:p>
            <w:pPr>
              <w:spacing w:after="40" w:before="40"/>
            </w:pPr>
            <w:r>
              <w:rPr>
                <w:rFonts w:ascii="Arial" w:cs="Arial" w:eastAsia="Arial" w:hAnsi="Arial"/>
                <w:sz w:val="21"/>
                <w:szCs w:val="21"/>
              </w:rPr>
              <w:t xml:space="preserve">CIPC: Confirm all company information is current. Any discrepancies disqualify tender applications.</w:t>
            </w:r>
          </w:p>
        </w:tc>
      </w:tr>
    </w:tbl>
    <w:p>
      <w:pPr>
        <w:spacing w:after="80" w:before="80"/>
      </w:pPr>
      <w:r>
        <w:t xml:space="preserve"/>
      </w:r>
    </w:p>
    <w:p>
      <w:pPr>
        <w:pStyle w:val="Heading2"/>
        <w:spacing w:after="120" w:before="280"/>
      </w:pPr>
      <w:r>
        <w:rPr>
          <w:rFonts w:ascii="Arial" w:cs="Arial" w:eastAsia="Arial" w:hAnsi="Arial"/>
          <w:b/>
          <w:bCs/>
          <w:color w:val="1A3C5E"/>
          <w:sz w:val="24"/>
          <w:szCs w:val="24"/>
        </w:rPr>
        <w:t xml:space="preserve">Track 2: Build Government Relationships Before You Need Them</w:t>
      </w:r>
    </w:p>
    <w:p>
      <w:pPr>
        <w:spacing w:after="100" w:before="100"/>
        <w:jc w:val="both"/>
      </w:pPr>
      <w:r>
        <w:rPr>
          <w:rFonts w:ascii="Arial" w:cs="Arial" w:eastAsia="Arial" w:hAnsi="Arial"/>
          <w:sz w:val="21"/>
          <w:szCs w:val="21"/>
        </w:rPr>
        <w:t xml:space="preserve">South African government procurement is deeply relationship-driven. Officials who know you, who have seen your work, who have shaken your hand — they are the ones who think of you when a new budget line opens or a direct appointment becomes available.</w:t>
      </w:r>
    </w:p>
    <w:p>
      <w:pPr>
        <w:spacing w:after="80" w:before="80"/>
      </w:pPr>
      <w:r>
        <w:t xml:space="preserve"/>
      </w:r>
    </w:p>
    <w:p>
      <w:pPr>
        <w:spacing w:after="100" w:before="100"/>
        <w:jc w:val="both"/>
      </w:pPr>
      <w:r>
        <w:rPr>
          <w:rFonts w:ascii="Arial" w:cs="Arial" w:eastAsia="Arial" w:hAnsi="Arial"/>
          <w:sz w:val="21"/>
          <w:szCs w:val="21"/>
        </w:rPr>
        <w:t xml:space="preserve">Carter Digitals has a significant advantage: the Soshanguve School of Specialisation reference project at sosha-automotive.org is a live, production-grade government-adjacent deployment. This is your foot in the door.</w:t>
      </w:r>
    </w:p>
    <w:p>
      <w:pPr>
        <w:spacing w:after="80" w:before="8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8F5EE" w:val="clear"/>
            <w:tcMar>
              <w:top w:type="dxa" w:w="160"/>
              <w:left w:type="dxa" w:w="200"/>
              <w:bottom w:type="dxa" w:w="160"/>
              <w:right w:type="dxa" w:w="200"/>
            </w:tcMar>
          </w:tcPr>
          <w:p>
            <w:pPr>
              <w:spacing w:after="80" w:before="0"/>
            </w:pPr>
            <w:r>
              <w:rPr>
                <w:rFonts w:ascii="Arial" w:cs="Arial" w:eastAsia="Arial" w:hAnsi="Arial"/>
                <w:b/>
                <w:bCs/>
                <w:color w:val="1A6B3C"/>
                <w:sz w:val="22"/>
                <w:szCs w:val="22"/>
              </w:rPr>
              <w:t xml:space="preserve">Relationship Targets — 90-Day Campaign</w:t>
            </w:r>
          </w:p>
          <w:p>
            <w:pPr>
              <w:spacing w:after="40" w:before="40"/>
            </w:pPr>
            <w:r>
              <w:rPr>
                <w:rFonts w:ascii="Arial" w:cs="Arial" w:eastAsia="Arial" w:hAnsi="Arial"/>
                <w:sz w:val="21"/>
                <w:szCs w:val="21"/>
              </w:rPr>
              <w:t xml:space="preserve">Tshwane Metropolitan Municipality: Digital Services and Smart City departments. Carter Digitals is based in their jurisdiction. This is home turf. Request a 30-minute briefing on their digital roadmap.</w:t>
            </w:r>
          </w:p>
          <w:p>
            <w:pPr>
              <w:spacing w:after="40" w:before="40"/>
            </w:pPr>
            <w:r>
              <w:rPr>
                <w:rFonts w:ascii="Arial" w:cs="Arial" w:eastAsia="Arial" w:hAnsi="Arial"/>
                <w:sz w:val="21"/>
                <w:szCs w:val="21"/>
              </w:rPr>
              <w:t xml:space="preserve">Gauteng Department of Education: ICT Directorate. Propose a SkoLiga pilot for 5 Soshanguve schools. Reference sosha-automotive.org as proof of delivery in the community.</w:t>
            </w:r>
          </w:p>
          <w:p>
            <w:pPr>
              <w:spacing w:after="40" w:before="40"/>
            </w:pPr>
            <w:r>
              <w:rPr>
                <w:rFonts w:ascii="Arial" w:cs="Arial" w:eastAsia="Arial" w:hAnsi="Arial"/>
                <w:sz w:val="21"/>
                <w:szCs w:val="21"/>
              </w:rPr>
              <w:t xml:space="preserve">Gauteng Department of Health: eHealth unit. Propose a ClinicPulse pilot for community health centres in Soshanguve/Mabopane corridor.</w:t>
            </w:r>
          </w:p>
          <w:p>
            <w:pPr>
              <w:spacing w:after="40" w:before="40"/>
            </w:pPr>
            <w:r>
              <w:rPr>
                <w:rFonts w:ascii="Arial" w:cs="Arial" w:eastAsia="Arial" w:hAnsi="Arial"/>
                <w:sz w:val="21"/>
                <w:szCs w:val="21"/>
              </w:rPr>
              <w:t xml:space="preserve">Technology Innovation Agency (TIA): Township Innovation Programme manager. Request a discovery meeting to understand upcoming MSME AI funding cycles.</w:t>
            </w:r>
          </w:p>
          <w:p>
            <w:pPr>
              <w:spacing w:after="40" w:before="40"/>
            </w:pPr>
            <w:r>
              <w:rPr>
                <w:rFonts w:ascii="Arial" w:cs="Arial" w:eastAsia="Arial" w:hAnsi="Arial"/>
                <w:sz w:val="21"/>
                <w:szCs w:val="21"/>
              </w:rPr>
              <w:t xml:space="preserve">DCDT (Department of Communications and Digital Technologies): Digital Economy Directorate. Submit your AI policy comment and follow up with a briefing request — public comment submissions create a natural reason to engage.</w:t>
            </w:r>
          </w:p>
        </w:tc>
      </w:tr>
    </w:tbl>
    <w:p>
      <w:pPr>
        <w:spacing w:after="80" w:before="80"/>
      </w:pPr>
      <w:r>
        <w:t xml:space="preserve"/>
      </w:r>
    </w:p>
    <w:p>
      <w:pPr>
        <w:pStyle w:val="Heading2"/>
        <w:spacing w:after="120" w:before="280"/>
      </w:pPr>
      <w:r>
        <w:rPr>
          <w:rFonts w:ascii="Arial" w:cs="Arial" w:eastAsia="Arial" w:hAnsi="Arial"/>
          <w:b/>
          <w:bCs/>
          <w:color w:val="1A3C5E"/>
          <w:sz w:val="24"/>
          <w:szCs w:val="24"/>
        </w:rPr>
        <w:t xml:space="preserve">Track 3: Build the Right Credentials and Proof Points</w:t>
      </w:r>
    </w:p>
    <w:p>
      <w:pPr>
        <w:spacing w:after="100" w:before="100"/>
        <w:jc w:val="both"/>
      </w:pPr>
      <w:r>
        <w:rPr>
          <w:rFonts w:ascii="Arial" w:cs="Arial" w:eastAsia="Arial" w:hAnsi="Arial"/>
          <w:sz w:val="21"/>
          <w:szCs w:val="21"/>
        </w:rPr>
        <w:t xml:space="preserve">Government clients do not buy potential. They buy demonstrated capability, verified credentials, and risk mitigation. Carter Digitals needs to build a credentials portfolio that removes objections before they are raised.</w:t>
      </w:r>
    </w:p>
    <w:p>
      <w:pPr>
        <w:spacing w:after="80" w:before="8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400"/>
        <w:gridCol w:w="4626"/>
      </w:tblGrid>
      <w:tr>
        <w:tc>
          <w:tcPr>
            <w:tcW w:type="dxa" w:w="44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80" w:before="0"/>
            </w:pPr>
            <w:r>
              <w:rPr>
                <w:rFonts w:ascii="Arial" w:cs="Arial" w:eastAsia="Arial" w:hAnsi="Arial"/>
                <w:b/>
                <w:bCs/>
                <w:color w:val="1A3C5E"/>
                <w:sz w:val="22"/>
                <w:szCs w:val="22"/>
              </w:rPr>
              <w:t xml:space="preserve">Credentials to Build Now</w:t>
            </w:r>
          </w:p>
          <w:p>
            <w:pPr>
              <w:pStyle w:val="ListParagraph"/>
              <w:numPr>
                <w:ilvl w:val="0"/>
                <w:numId w:val="2"/>
              </w:numPr>
              <w:spacing w:after="60" w:before="60"/>
            </w:pPr>
            <w:r>
              <w:rPr>
                <w:rFonts w:ascii="Arial" w:cs="Arial" w:eastAsia="Arial" w:hAnsi="Arial"/>
                <w:sz w:val="20"/>
                <w:szCs w:val="20"/>
              </w:rPr>
              <w:t xml:space="preserve">POPIA compliance self-certification document</w:t>
            </w:r>
          </w:p>
          <w:p>
            <w:pPr>
              <w:pStyle w:val="ListParagraph"/>
              <w:numPr>
                <w:ilvl w:val="0"/>
                <w:numId w:val="2"/>
              </w:numPr>
              <w:spacing w:after="60" w:before="60"/>
            </w:pPr>
            <w:r>
              <w:rPr>
                <w:rFonts w:ascii="Arial" w:cs="Arial" w:eastAsia="Arial" w:hAnsi="Arial"/>
                <w:sz w:val="20"/>
                <w:szCs w:val="20"/>
              </w:rPr>
              <w:t xml:space="preserve">Company profile document (already exists — update Q2 2026)</w:t>
            </w:r>
          </w:p>
          <w:p>
            <w:pPr>
              <w:pStyle w:val="ListParagraph"/>
              <w:numPr>
                <w:ilvl w:val="0"/>
                <w:numId w:val="2"/>
              </w:numPr>
              <w:spacing w:after="60" w:before="60"/>
            </w:pPr>
            <w:r>
              <w:rPr>
                <w:rFonts w:ascii="Arial" w:cs="Arial" w:eastAsia="Arial" w:hAnsi="Arial"/>
                <w:sz w:val="20"/>
                <w:szCs w:val="20"/>
              </w:rPr>
              <w:t xml:space="preserve">Government-facing capability statement (1 page, sector-specific)</w:t>
            </w:r>
          </w:p>
          <w:p>
            <w:pPr>
              <w:pStyle w:val="ListParagraph"/>
              <w:numPr>
                <w:ilvl w:val="0"/>
                <w:numId w:val="2"/>
              </w:numPr>
              <w:spacing w:after="60" w:before="60"/>
            </w:pPr>
            <w:r>
              <w:rPr>
                <w:rFonts w:ascii="Arial" w:cs="Arial" w:eastAsia="Arial" w:hAnsi="Arial"/>
                <w:sz w:val="20"/>
                <w:szCs w:val="20"/>
              </w:rPr>
              <w:t xml:space="preserve">B-BBEE certificate (current)</w:t>
            </w:r>
          </w:p>
          <w:p>
            <w:pPr>
              <w:pStyle w:val="ListParagraph"/>
              <w:numPr>
                <w:ilvl w:val="0"/>
                <w:numId w:val="2"/>
              </w:numPr>
              <w:spacing w:after="60" w:before="60"/>
            </w:pPr>
            <w:r>
              <w:rPr>
                <w:rFonts w:ascii="Arial" w:cs="Arial" w:eastAsia="Arial" w:hAnsi="Arial"/>
                <w:sz w:val="20"/>
                <w:szCs w:val="20"/>
              </w:rPr>
              <w:t xml:space="preserve">Tax clearance certificate (valid)</w:t>
            </w:r>
          </w:p>
          <w:p>
            <w:pPr>
              <w:pStyle w:val="ListParagraph"/>
              <w:numPr>
                <w:ilvl w:val="0"/>
                <w:numId w:val="2"/>
              </w:numPr>
              <w:spacing w:after="60" w:before="60"/>
            </w:pPr>
            <w:r>
              <w:rPr>
                <w:rFonts w:ascii="Arial" w:cs="Arial" w:eastAsia="Arial" w:hAnsi="Arial"/>
                <w:sz w:val="20"/>
                <w:szCs w:val="20"/>
              </w:rPr>
              <w:t xml:space="preserve">Case study: SOS Soshanguve (written and visual)</w:t>
            </w:r>
          </w:p>
          <w:p>
            <w:pPr>
              <w:pStyle w:val="ListParagraph"/>
              <w:numPr>
                <w:ilvl w:val="0"/>
                <w:numId w:val="2"/>
              </w:numPr>
              <w:spacing w:after="60" w:before="60"/>
            </w:pPr>
            <w:r>
              <w:rPr>
                <w:rFonts w:ascii="Arial" w:cs="Arial" w:eastAsia="Arial" w:hAnsi="Arial"/>
                <w:sz w:val="20"/>
                <w:szCs w:val="20"/>
              </w:rPr>
              <w:t xml:space="preserve">Proof of delivery from at least 3 named clients</w:t>
            </w:r>
          </w:p>
          <w:p>
            <w:pPr>
              <w:pStyle w:val="ListParagraph"/>
              <w:numPr>
                <w:ilvl w:val="0"/>
                <w:numId w:val="2"/>
              </w:numPr>
              <w:spacing w:after="60" w:before="60"/>
            </w:pPr>
            <w:r>
              <w:rPr>
                <w:rFonts w:ascii="Arial" w:cs="Arial" w:eastAsia="Arial" w:hAnsi="Arial"/>
                <w:sz w:val="20"/>
                <w:szCs w:val="20"/>
              </w:rPr>
              <w:t xml:space="preserve">AI product portfolio document (SkoLiga, ClinicPulse, WattWise)</w:t>
            </w:r>
          </w:p>
        </w:tc>
        <w:tc>
          <w:tcPr>
            <w:tcW w:type="dxa" w:w="4626"/>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80" w:before="0"/>
            </w:pPr>
            <w:r>
              <w:rPr>
                <w:rFonts w:ascii="Arial" w:cs="Arial" w:eastAsia="Arial" w:hAnsi="Arial"/>
                <w:b/>
                <w:bCs/>
                <w:color w:val="C85A1A"/>
                <w:sz w:val="22"/>
                <w:szCs w:val="22"/>
              </w:rPr>
              <w:t xml:space="preserve">Credentials to Build in 6 Months</w:t>
            </w:r>
          </w:p>
          <w:p>
            <w:pPr>
              <w:pStyle w:val="ListParagraph"/>
              <w:numPr>
                <w:ilvl w:val="0"/>
                <w:numId w:val="2"/>
              </w:numPr>
              <w:spacing w:after="60" w:before="60"/>
            </w:pPr>
            <w:r>
              <w:rPr>
                <w:rFonts w:ascii="Arial" w:cs="Arial" w:eastAsia="Arial" w:hAnsi="Arial"/>
                <w:sz w:val="20"/>
                <w:szCs w:val="20"/>
              </w:rPr>
              <w:t xml:space="preserve">ISO 27001 or equivalent data security framework alignment</w:t>
            </w:r>
          </w:p>
          <w:p>
            <w:pPr>
              <w:pStyle w:val="ListParagraph"/>
              <w:numPr>
                <w:ilvl w:val="0"/>
                <w:numId w:val="2"/>
              </w:numPr>
              <w:spacing w:after="60" w:before="60"/>
            </w:pPr>
            <w:r>
              <w:rPr>
                <w:rFonts w:ascii="Arial" w:cs="Arial" w:eastAsia="Arial" w:hAnsi="Arial"/>
                <w:sz w:val="20"/>
                <w:szCs w:val="20"/>
              </w:rPr>
              <w:t xml:space="preserve">Google Cloud Partner Programme registration</w:t>
            </w:r>
          </w:p>
          <w:p>
            <w:pPr>
              <w:pStyle w:val="ListParagraph"/>
              <w:numPr>
                <w:ilvl w:val="0"/>
                <w:numId w:val="2"/>
              </w:numPr>
              <w:spacing w:after="60" w:before="60"/>
            </w:pPr>
            <w:r>
              <w:rPr>
                <w:rFonts w:ascii="Arial" w:cs="Arial" w:eastAsia="Arial" w:hAnsi="Arial"/>
                <w:sz w:val="20"/>
                <w:szCs w:val="20"/>
              </w:rPr>
              <w:t xml:space="preserve">At least one named government or parastatal reference client</w:t>
            </w:r>
          </w:p>
          <w:p>
            <w:pPr>
              <w:pStyle w:val="ListParagraph"/>
              <w:numPr>
                <w:ilvl w:val="0"/>
                <w:numId w:val="2"/>
              </w:numPr>
              <w:spacing w:after="60" w:before="60"/>
            </w:pPr>
            <w:r>
              <w:rPr>
                <w:rFonts w:ascii="Arial" w:cs="Arial" w:eastAsia="Arial" w:hAnsi="Arial"/>
                <w:sz w:val="20"/>
                <w:szCs w:val="20"/>
              </w:rPr>
              <w:t xml:space="preserve">University or research institution partnership letter</w:t>
            </w:r>
          </w:p>
          <w:p>
            <w:pPr>
              <w:pStyle w:val="ListParagraph"/>
              <w:numPr>
                <w:ilvl w:val="0"/>
                <w:numId w:val="2"/>
              </w:numPr>
              <w:spacing w:after="60" w:before="60"/>
            </w:pPr>
            <w:r>
              <w:rPr>
                <w:rFonts w:ascii="Arial" w:cs="Arial" w:eastAsia="Arial" w:hAnsi="Arial"/>
                <w:sz w:val="20"/>
                <w:szCs w:val="20"/>
              </w:rPr>
              <w:t xml:space="preserve">AI Ethics statement (one-page, based on policy principles)</w:t>
            </w:r>
          </w:p>
          <w:p>
            <w:pPr>
              <w:pStyle w:val="ListParagraph"/>
              <w:numPr>
                <w:ilvl w:val="0"/>
                <w:numId w:val="2"/>
              </w:numPr>
              <w:spacing w:after="60" w:before="60"/>
            </w:pPr>
            <w:r>
              <w:rPr>
                <w:rFonts w:ascii="Arial" w:cs="Arial" w:eastAsia="Arial" w:hAnsi="Arial"/>
                <w:sz w:val="20"/>
                <w:szCs w:val="20"/>
              </w:rPr>
              <w:t xml:space="preserve">Sandbox application submitted (ClinicPulse or SkoLiga)</w:t>
            </w:r>
          </w:p>
          <w:p>
            <w:pPr>
              <w:pStyle w:val="ListParagraph"/>
              <w:numPr>
                <w:ilvl w:val="0"/>
                <w:numId w:val="2"/>
              </w:numPr>
              <w:spacing w:after="60" w:before="60"/>
            </w:pPr>
            <w:r>
              <w:rPr>
                <w:rFonts w:ascii="Arial" w:cs="Arial" w:eastAsia="Arial" w:hAnsi="Arial"/>
                <w:sz w:val="20"/>
                <w:szCs w:val="20"/>
              </w:rPr>
              <w:t xml:space="preserve">Participation in one DCDT or TIA stakeholder forum</w:t>
            </w:r>
          </w:p>
        </w:tc>
      </w:tr>
    </w:tbl>
    <w:p>
      <w:pPr>
        <w:spacing w:after="80" w:before="80"/>
      </w:pPr>
      <w:r>
        <w:t xml:space="preserve"/>
      </w:r>
    </w:p>
    <w:p>
      <w:pPr>
        <w:pStyle w:val="Heading2"/>
        <w:spacing w:after="120" w:before="280"/>
      </w:pPr>
      <w:r>
        <w:rPr>
          <w:rFonts w:ascii="Arial" w:cs="Arial" w:eastAsia="Arial" w:hAnsi="Arial"/>
          <w:b/>
          <w:bCs/>
          <w:color w:val="1A3C5E"/>
          <w:sz w:val="24"/>
          <w:szCs w:val="24"/>
        </w:rPr>
        <w:t xml:space="preserve">Track 4: Reframe Carter Digitals' Language for Government</w:t>
      </w:r>
    </w:p>
    <w:p>
      <w:pPr>
        <w:spacing w:after="100" w:before="100"/>
        <w:jc w:val="both"/>
      </w:pPr>
      <w:r>
        <w:rPr>
          <w:rFonts w:ascii="Arial" w:cs="Arial" w:eastAsia="Arial" w:hAnsi="Arial"/>
          <w:sz w:val="21"/>
          <w:szCs w:val="21"/>
        </w:rPr>
        <w:t xml:space="preserve">Government officials respond to language that mirrors their mandates, their frameworks, and their political imperatives. Carter Digitals' current messaging — which correctly leads with operational problem-solving — needs a parallel government-facing version that speaks the language of policy.</w:t>
      </w:r>
    </w:p>
    <w:p>
      <w:pPr>
        <w:spacing w:after="80" w:before="80"/>
      </w:pPr>
      <w:r>
        <w:t xml:space="preserve"/>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4813"/>
        <w:gridCol w:w="5013"/>
      </w:tblGrid>
      <w:tr>
        <w:tc>
          <w:tcPr>
            <w:tcW w:type="dxa" w:w="4813"/>
            <w:tcBorders>
              <w:top w:val="single" w:color="DDDDDD" w:sz="1"/>
              <w:left w:val="single" w:color="DDDDDD" w:sz="1"/>
              <w:bottom w:val="single" w:color="DDDDDD" w:sz="1"/>
              <w:right w:val="single" w:color="DDDDDD"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Current Language (Commercial)</w:t>
            </w:r>
          </w:p>
        </w:tc>
        <w:tc>
          <w:tcPr>
            <w:tcW w:type="dxa" w:w="5013"/>
            <w:tcBorders>
              <w:top w:val="single" w:color="DDDDDD" w:sz="1"/>
              <w:left w:val="single" w:color="DDDDDD" w:sz="1"/>
              <w:bottom w:val="single" w:color="DDDDDD" w:sz="1"/>
              <w:right w:val="single" w:color="DDDDDD" w:sz="1"/>
            </w:tcBorders>
            <w:shd w:fill="1A6B3C" w:val="clear"/>
            <w:tcMar>
              <w:top w:type="dxa" w:w="100"/>
              <w:left w:type="dxa" w:w="140"/>
              <w:bottom w:type="dxa" w:w="100"/>
              <w:right w:type="dxa" w:w="140"/>
            </w:tcMar>
          </w:tcPr>
          <w:p>
            <w:r>
              <w:rPr>
                <w:rFonts w:ascii="Arial" w:cs="Arial" w:eastAsia="Arial" w:hAnsi="Arial"/>
                <w:b/>
                <w:bCs/>
                <w:color w:val="FFFFFF"/>
                <w:sz w:val="20"/>
                <w:szCs w:val="20"/>
              </w:rPr>
              <w:t xml:space="preserve">Government-Facing Language</w:t>
            </w:r>
          </w:p>
        </w:tc>
      </w:tr>
      <w:tr>
        <w:tc>
          <w:tcPr>
            <w:tcW w:type="dxa" w:w="4813"/>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19"/>
                <w:szCs w:val="19"/>
              </w:rPr>
              <w:t xml:space="preserve">We build websites and custom tools</w:t>
            </w:r>
          </w:p>
        </w:tc>
        <w:tc>
          <w:tcPr>
            <w:tcW w:type="dxa" w:w="5013"/>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bCs/>
                <w:sz w:val="19"/>
                <w:szCs w:val="19"/>
              </w:rPr>
              <w:t xml:space="preserve">We deliver human-centred AI infrastructure for public institutions</w:t>
            </w:r>
          </w:p>
        </w:tc>
      </w:tr>
      <w:tr>
        <w:tc>
          <w:tcPr>
            <w:tcW w:type="dxa" w:w="4813"/>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19"/>
                <w:szCs w:val="19"/>
              </w:rPr>
              <w:t xml:space="preserve">SkoLiga: football management for schools</w:t>
            </w:r>
          </w:p>
        </w:tc>
        <w:tc>
          <w:tcPr>
            <w:tcW w:type="dxa" w:w="5013"/>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bCs/>
                <w:sz w:val="19"/>
                <w:szCs w:val="19"/>
              </w:rPr>
              <w:t xml:space="preserve">SkoLiga: AI-powered student engagement and community sport platform advancing school digitalisation</w:t>
            </w:r>
          </w:p>
        </w:tc>
      </w:tr>
      <w:tr>
        <w:tc>
          <w:tcPr>
            <w:tcW w:type="dxa" w:w="4813"/>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19"/>
                <w:szCs w:val="19"/>
              </w:rPr>
              <w:t xml:space="preserve">ClinicPulse: WhatsApp-first patient comms</w:t>
            </w:r>
          </w:p>
        </w:tc>
        <w:tc>
          <w:tcPr>
            <w:tcW w:type="dxa" w:w="5013"/>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bCs/>
                <w:sz w:val="19"/>
                <w:szCs w:val="19"/>
              </w:rPr>
              <w:t xml:space="preserve">ClinicPulse: multilingual AI health communication platform supporting POPIA-compliant patient engagement in under-served communities</w:t>
            </w:r>
          </w:p>
        </w:tc>
      </w:tr>
      <w:tr>
        <w:tc>
          <w:tcPr>
            <w:tcW w:type="dxa" w:w="4813"/>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19"/>
                <w:szCs w:val="19"/>
              </w:rPr>
              <w:t xml:space="preserve">WattWise SA: electricity tariff calculator</w:t>
            </w:r>
          </w:p>
        </w:tc>
        <w:tc>
          <w:tcPr>
            <w:tcW w:type="dxa" w:w="5013"/>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bCs/>
                <w:sz w:val="19"/>
                <w:szCs w:val="19"/>
              </w:rPr>
              <w:t xml:space="preserve">WattWise SA: AI-powered energy cost intelligence tool for township SMEs navigating load-shedding impacts</w:t>
            </w:r>
          </w:p>
        </w:tc>
      </w:tr>
      <w:tr>
        <w:tc>
          <w:tcPr>
            <w:tcW w:type="dxa" w:w="4813"/>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19"/>
                <w:szCs w:val="19"/>
              </w:rPr>
              <w:t xml:space="preserve">We use AI tools to build faster</w:t>
            </w:r>
          </w:p>
        </w:tc>
        <w:tc>
          <w:tcPr>
            <w:tcW w:type="dxa" w:w="5013"/>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bCs/>
                <w:sz w:val="19"/>
                <w:szCs w:val="19"/>
              </w:rPr>
              <w:t xml:space="preserve">We apply AI-augmented systems engineering to accelerate government digital transformation at MSME cost efficiency</w:t>
            </w:r>
          </w:p>
        </w:tc>
      </w:tr>
      <w:tr>
        <w:tc>
          <w:tcPr>
            <w:tcW w:type="dxa" w:w="4813"/>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19"/>
                <w:szCs w:val="19"/>
              </w:rPr>
              <w:t xml:space="preserve">5x faster than traditional agencies</w:t>
            </w:r>
          </w:p>
        </w:tc>
        <w:tc>
          <w:tcPr>
            <w:tcW w:type="dxa" w:w="5013"/>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bCs/>
                <w:sz w:val="19"/>
                <w:szCs w:val="19"/>
              </w:rPr>
              <w:t xml:space="preserve">Compressed delivery timelines reducing government implementation risk and accelerating time-to-value</w:t>
            </w:r>
          </w:p>
        </w:tc>
      </w:tr>
    </w:tbl>
    <w:p>
      <w:pPr>
        <w:spacing w:after="80" w:before="80"/>
      </w:pPr>
      <w:r>
        <w:t xml:space="preserve"/>
      </w:r>
    </w:p>
    <w:p>
      <w:pPr>
        <w:pStyle w:val="Heading2"/>
        <w:spacing w:after="120" w:before="280"/>
      </w:pPr>
      <w:r>
        <w:rPr>
          <w:rFonts w:ascii="Arial" w:cs="Arial" w:eastAsia="Arial" w:hAnsi="Arial"/>
          <w:b/>
          <w:bCs/>
          <w:color w:val="1A3C5E"/>
          <w:sz w:val="24"/>
          <w:szCs w:val="24"/>
        </w:rPr>
        <w:t xml:space="preserve">Track 5: Strategic Partnerships to Unlock Doors Carter Digitals Cannot Open Alone</w:t>
      </w:r>
    </w:p>
    <w:p>
      <w:pPr>
        <w:spacing w:after="100" w:before="100"/>
        <w:jc w:val="both"/>
      </w:pPr>
      <w:r>
        <w:rPr>
          <w:rFonts w:ascii="Arial" w:cs="Arial" w:eastAsia="Arial" w:hAnsi="Arial"/>
          <w:sz w:val="21"/>
          <w:szCs w:val="21"/>
        </w:rPr>
        <w:t xml:space="preserve">Some government contracts require size, track record, or institutional credibility that Carter Digitals cannot build alone in the short term. Strategic partnerships let Carter Digitals access those contracts by anchoring to established partners while delivering the actual technical work.</w:t>
      </w:r>
    </w:p>
    <w:p>
      <w:pPr>
        <w:spacing w:after="80" w:before="8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DF6E3" w:val="clear"/>
            <w:tcMar>
              <w:top w:type="dxa" w:w="160"/>
              <w:left w:type="dxa" w:w="200"/>
              <w:bottom w:type="dxa" w:w="160"/>
              <w:right w:type="dxa" w:w="200"/>
            </w:tcMar>
          </w:tcPr>
          <w:p>
            <w:pPr>
              <w:spacing w:after="80" w:before="0"/>
            </w:pPr>
            <w:r>
              <w:rPr>
                <w:rFonts w:ascii="Arial" w:cs="Arial" w:eastAsia="Arial" w:hAnsi="Arial"/>
                <w:b/>
                <w:bCs/>
                <w:color w:val="C85A1A"/>
                <w:sz w:val="22"/>
                <w:szCs w:val="22"/>
              </w:rPr>
              <w:t xml:space="preserve">Partnership Targets and Strategy</w:t>
            </w:r>
          </w:p>
          <w:p>
            <w:pPr>
              <w:spacing w:after="40" w:before="40"/>
            </w:pPr>
            <w:r>
              <w:rPr>
                <w:rFonts w:ascii="Arial" w:cs="Arial" w:eastAsia="Arial" w:hAnsi="Arial"/>
                <w:sz w:val="21"/>
                <w:szCs w:val="21"/>
              </w:rPr>
              <w:t xml:space="preserve">Universities (TUT, UJ, CUT): These institutions are explicitly named in the policy as AI hub locations. A letter of collaboration from TUT or UJ positions Carter Digitals as an academic-linked MSME — which is a distinct advantage in government applications. Approach: propose to run a student internship or capstone project using SkoLiga or ClinicPulse as the platform.</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CSIR (Council for Scientific and Industrial Research): CSIR will lead AI research applications in several sectors. Carter Digitals could position as a community deployment partner — CSIR does the research, Carter Digitals does the township-facing implementation. Approach: contact the CSIR AI research group and propose a joint pilot.</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Established System Integrators: Find one or two established government IT contractors who lack B-BBEE Level 1 credentials and propose a subcontracting arrangement. They bring the tender; Carter Digitals brings the B-BBEE uplift and does the actual AI product work. Approach: target SITA-registered suppliers who are actively seeking B-BBEE partners.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Other Black-Owned MSMEs: Form an informal consortium with complementary Black-owned agencies (legal tech, data analytics, UX design) to bid jointly on larger contracts that none of you could pursue alone. This is explicitly encouraged by the policy's MSME coalition framework.</w:t>
            </w:r>
          </w:p>
        </w:tc>
      </w:tr>
    </w:tbl>
    <w:p>
      <w:pPr>
        <w:spacing w:after="80" w:before="80"/>
      </w:pPr>
      <w:r>
        <w:t xml:space="preserve"/>
      </w:r>
    </w:p>
    <w:p>
      <w:pPr>
        <w:pBdr>
          <w:bottom w:val="single" w:color="C8A84B" w:sz="6" w:space="1"/>
        </w:pBdr>
        <w:spacing w:after="80" w:before="80"/>
      </w:pPr>
      <w:r>
        <w:t xml:space="preserve"/>
      </w:r>
    </w:p>
    <w:p>
      <w:pPr>
        <w:spacing w:after="80" w:before="80"/>
      </w:pPr>
      <w:r>
        <w:t xml:space="preserve"/>
      </w:r>
    </w:p>
    <w:p>
      <w:r>
        <w:br w:type="page"/>
      </w:r>
    </w:p>
    <w:p>
      <w:pPr>
        <w:pStyle w:val="Heading1"/>
        <w:spacing w:after="160" w:before="400"/>
      </w:pPr>
      <w:r>
        <w:rPr>
          <w:rFonts w:ascii="Arial" w:cs="Arial" w:eastAsia="Arial" w:hAnsi="Arial"/>
          <w:b/>
          <w:bCs/>
          <w:color w:val="1A3C5E"/>
          <w:sz w:val="30"/>
          <w:szCs w:val="30"/>
        </w:rPr>
        <w:t xml:space="preserve">Part 3: 12-Month Action Roadmap</w:t>
      </w:r>
    </w:p>
    <w:p>
      <w:pPr>
        <w:spacing w:after="100" w:before="100"/>
        <w:jc w:val="both"/>
      </w:pPr>
      <w:r>
        <w:rPr>
          <w:rFonts w:ascii="Arial" w:cs="Arial" w:eastAsia="Arial" w:hAnsi="Arial"/>
          <w:sz w:val="21"/>
          <w:szCs w:val="21"/>
        </w:rPr>
        <w:t xml:space="preserve">Strategy without execution is fiction. The following roadmap converts every opportunity and positioning track into dated, accountable actions. Priority is sequenced — earlier actions unlock later ones.</w:t>
      </w:r>
    </w:p>
    <w:p>
      <w:pPr>
        <w:spacing w:after="80" w:before="80"/>
      </w:pPr>
      <w:r>
        <w:t xml:space="preserve"/>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3275"/>
        <w:gridCol w:w="3275"/>
        <w:gridCol w:w="3276"/>
      </w:tblGrid>
      <w:tr>
        <w:tc>
          <w:tcPr>
            <w:tcW w:type="dxa" w:w="3275"/>
            <w:tcBorders>
              <w:top w:val="single" w:color="DDDDDD" w:sz="1"/>
              <w:left w:val="single" w:color="DDDDDD" w:sz="1"/>
              <w:bottom w:val="single" w:color="DDDDDD" w:sz="1"/>
              <w:right w:val="single" w:color="DDDDDD" w:sz="1"/>
            </w:tcBorders>
            <w:shd w:fill="1A3C5E" w:val="clear"/>
            <w:tcMar>
              <w:top w:type="dxa" w:w="120"/>
              <w:left w:type="dxa" w:w="160"/>
              <w:bottom w:type="dxa" w:w="120"/>
              <w:right w:type="dxa" w:w="160"/>
            </w:tcMar>
          </w:tcPr>
          <w:p>
            <w:r>
              <w:rPr>
                <w:rFonts w:ascii="Arial" w:cs="Arial" w:eastAsia="Arial" w:hAnsi="Arial"/>
                <w:b/>
                <w:bCs/>
                <w:color w:val="C8A84B"/>
                <w:sz w:val="22"/>
                <w:szCs w:val="22"/>
              </w:rPr>
              <w:t xml:space="preserve">PHASE 1</w:t>
            </w:r>
          </w:p>
          <w:p>
            <w:r>
              <w:rPr>
                <w:rFonts w:ascii="Arial" w:cs="Arial" w:eastAsia="Arial" w:hAnsi="Arial"/>
                <w:b/>
                <w:bCs/>
                <w:color w:val="FFFFFF"/>
                <w:sz w:val="20"/>
                <w:szCs w:val="20"/>
              </w:rPr>
              <w:t xml:space="preserve">Foundation &amp; Registration</w:t>
            </w:r>
          </w:p>
          <w:p>
            <w:r>
              <w:rPr>
                <w:rFonts w:ascii="Arial" w:cs="Arial" w:eastAsia="Arial" w:hAnsi="Arial"/>
                <w:color w:val="AAAAAA"/>
                <w:sz w:val="18"/>
                <w:szCs w:val="18"/>
              </w:rPr>
              <w:t xml:space="preserve">April – June 2026</w:t>
            </w:r>
          </w:p>
        </w:tc>
        <w:tc>
          <w:tcPr>
            <w:tcW w:type="dxa" w:w="3275"/>
            <w:tcBorders>
              <w:top w:val="single" w:color="DDDDDD" w:sz="1"/>
              <w:left w:val="single" w:color="DDDDDD" w:sz="1"/>
              <w:bottom w:val="single" w:color="DDDDDD" w:sz="1"/>
              <w:right w:val="single" w:color="DDDDDD" w:sz="1"/>
            </w:tcBorders>
            <w:shd w:fill="1A6B3C" w:val="clear"/>
            <w:tcMar>
              <w:top w:type="dxa" w:w="120"/>
              <w:left w:type="dxa" w:w="160"/>
              <w:bottom w:type="dxa" w:w="120"/>
              <w:right w:type="dxa" w:w="160"/>
            </w:tcMar>
          </w:tcPr>
          <w:p>
            <w:r>
              <w:rPr>
                <w:rFonts w:ascii="Arial" w:cs="Arial" w:eastAsia="Arial" w:hAnsi="Arial"/>
                <w:b/>
                <w:bCs/>
                <w:color w:val="C8A84B"/>
                <w:sz w:val="22"/>
                <w:szCs w:val="22"/>
              </w:rPr>
              <w:t xml:space="preserve">PHASE 2</w:t>
            </w:r>
          </w:p>
          <w:p>
            <w:r>
              <w:rPr>
                <w:rFonts w:ascii="Arial" w:cs="Arial" w:eastAsia="Arial" w:hAnsi="Arial"/>
                <w:b/>
                <w:bCs/>
                <w:color w:val="FFFFFF"/>
                <w:sz w:val="20"/>
                <w:szCs w:val="20"/>
              </w:rPr>
              <w:t xml:space="preserve">Activation &amp; Relationships</w:t>
            </w:r>
          </w:p>
          <w:p>
            <w:r>
              <w:rPr>
                <w:rFonts w:ascii="Arial" w:cs="Arial" w:eastAsia="Arial" w:hAnsi="Arial"/>
                <w:color w:val="AAAAAA"/>
                <w:sz w:val="18"/>
                <w:szCs w:val="18"/>
              </w:rPr>
              <w:t xml:space="preserve">July – September 2026</w:t>
            </w:r>
          </w:p>
        </w:tc>
        <w:tc>
          <w:tcPr>
            <w:tcW w:type="dxa" w:w="3276"/>
            <w:tcBorders>
              <w:top w:val="single" w:color="DDDDDD" w:sz="1"/>
              <w:left w:val="single" w:color="DDDDDD" w:sz="1"/>
              <w:bottom w:val="single" w:color="DDDDDD" w:sz="1"/>
              <w:right w:val="single" w:color="DDDDDD" w:sz="1"/>
            </w:tcBorders>
            <w:shd w:fill="C85A1A" w:val="clear"/>
            <w:tcMar>
              <w:top w:type="dxa" w:w="120"/>
              <w:left w:type="dxa" w:w="160"/>
              <w:bottom w:type="dxa" w:w="120"/>
              <w:right w:type="dxa" w:w="160"/>
            </w:tcMar>
          </w:tcPr>
          <w:p>
            <w:r>
              <w:rPr>
                <w:rFonts w:ascii="Arial" w:cs="Arial" w:eastAsia="Arial" w:hAnsi="Arial"/>
                <w:b/>
                <w:bCs/>
                <w:color w:val="C8A84B"/>
                <w:sz w:val="22"/>
                <w:szCs w:val="22"/>
              </w:rPr>
              <w:t xml:space="preserve">PHASE 3</w:t>
            </w:r>
          </w:p>
          <w:p>
            <w:r>
              <w:rPr>
                <w:rFonts w:ascii="Arial" w:cs="Arial" w:eastAsia="Arial" w:hAnsi="Arial"/>
                <w:b/>
                <w:bCs/>
                <w:color w:val="FFFFFF"/>
                <w:sz w:val="20"/>
                <w:szCs w:val="20"/>
              </w:rPr>
              <w:t xml:space="preserve">Contracts &amp; Scale</w:t>
            </w:r>
          </w:p>
          <w:p>
            <w:r>
              <w:rPr>
                <w:rFonts w:ascii="Arial" w:cs="Arial" w:eastAsia="Arial" w:hAnsi="Arial"/>
                <w:color w:val="AAAAAA"/>
                <w:sz w:val="18"/>
                <w:szCs w:val="18"/>
              </w:rPr>
              <w:t xml:space="preserve">October 2026 – March 2027</w:t>
            </w:r>
          </w:p>
        </w:tc>
      </w:tr>
    </w:tbl>
    <w:p>
      <w:pPr>
        <w:spacing w:after="80" w:before="80"/>
      </w:pPr>
      <w:r>
        <w:t xml:space="preserve"/>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500"/>
        <w:gridCol w:w="5526"/>
        <w:gridCol w:w="1500"/>
        <w:gridCol w:w="1500"/>
      </w:tblGrid>
      <w:tr>
        <w:tc>
          <w:tcPr>
            <w:tcW w:type="dxa" w:w="500"/>
            <w:tcBorders>
              <w:top w:val="single" w:color="DDDDDD" w:sz="1"/>
              <w:left w:val="single" w:color="DDDDDD" w:sz="1"/>
              <w:bottom w:val="single" w:color="DDDDDD" w:sz="1"/>
              <w:right w:val="single" w:color="DDDDDD" w:sz="1"/>
            </w:tcBorders>
            <w:shd w:fill="1A3C5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5526"/>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1500"/>
            <w:tcBorders>
              <w:top w:val="single" w:color="DDDDDD" w:sz="1"/>
              <w:left w:val="single" w:color="DDDDDD" w:sz="1"/>
              <w:bottom w:val="single" w:color="DDDDDD" w:sz="1"/>
              <w:right w:val="single" w:color="DDDDDD" w:sz="1"/>
            </w:tcBorders>
            <w:shd w:fill="1A3C5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Owner</w:t>
            </w:r>
          </w:p>
        </w:tc>
        <w:tc>
          <w:tcPr>
            <w:tcW w:type="dxa" w:w="1500"/>
            <w:tcBorders>
              <w:top w:val="single" w:color="DDDDDD" w:sz="1"/>
              <w:left w:val="single" w:color="DDDDDD" w:sz="1"/>
              <w:bottom w:val="single" w:color="DDDDDD" w:sz="1"/>
              <w:right w:val="single" w:color="DDDDDD" w:sz="1"/>
            </w:tcBorders>
            <w:shd w:fill="1A3C5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Deadline</w:t>
            </w:r>
          </w:p>
        </w:tc>
      </w:tr>
      <w:tr>
        <w:tc>
          <w:tcPr>
            <w:tcW w:type="dxa" w:w="9026"/>
            <w:gridSpan w:val="4"/>
            <w:tcBorders>
              <w:top w:val="none" w:color="FFFFFF" w:sz="0"/>
              <w:left w:val="none" w:color="FFFFFF" w:sz="0"/>
              <w:bottom w:val="none" w:color="FFFFFF" w:sz="0"/>
              <w:right w:val="none" w:color="FFFFFF" w:sz="0"/>
            </w:tcBorders>
            <w:shd w:fill="E8F0F7" w:val="clear"/>
            <w:tcMar>
              <w:top w:type="dxa" w:w="60"/>
              <w:left w:type="dxa" w:w="120"/>
              <w:bottom w:type="dxa" w:w="60"/>
              <w:right w:type="dxa" w:w="120"/>
            </w:tcMar>
          </w:tcPr>
          <w:p>
            <w:r>
              <w:rPr>
                <w:rFonts w:ascii="Arial" w:cs="Arial" w:eastAsia="Arial" w:hAnsi="Arial"/>
                <w:b/>
                <w:bCs/>
                <w:color w:val="1A3C5E"/>
                <w:sz w:val="20"/>
                <w:szCs w:val="20"/>
              </w:rPr>
              <w:t xml:space="preserve">PHASE 1  —  FOUNDATION &amp; REGISTRATION  (April–June 2026)</w:t>
            </w:r>
          </w:p>
        </w:tc>
      </w:tr>
      <w:tr>
        <w:tc>
          <w:tcPr>
            <w:tcW w:type="dxa" w:w="500"/>
            <w:tcBorders>
              <w:top w:val="single" w:color="DDDDDD" w:sz="1"/>
              <w:left w:val="single" w:color="DDDDDD" w:sz="1"/>
              <w:bottom w:val="single" w:color="DDDDDD" w:sz="1"/>
              <w:right w:val="single" w:color="DDDDDD" w:sz="1"/>
            </w:tcBorders>
            <w:shd w:fill="1A3C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Submit public comment on Draft AI Policy to DCDT (already drafted)</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10 Jun 2026</w:t>
            </w:r>
          </w:p>
        </w:tc>
      </w:tr>
      <w:tr>
        <w:tc>
          <w:tcPr>
            <w:tcW w:type="dxa" w:w="500"/>
            <w:tcBorders>
              <w:top w:val="single" w:color="DDDDDD" w:sz="1"/>
              <w:left w:val="single" w:color="DDDDDD" w:sz="1"/>
              <w:bottom w:val="single" w:color="DDDDDD" w:sz="1"/>
              <w:right w:val="single" w:color="DDDDDD" w:sz="1"/>
            </w:tcBorders>
            <w:shd w:fill="1A3C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Verify CSD registration and tax compliance certificate validity</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30 Apr 2026</w:t>
            </w:r>
          </w:p>
        </w:tc>
      </w:tr>
      <w:tr>
        <w:tc>
          <w:tcPr>
            <w:tcW w:type="dxa" w:w="500"/>
            <w:tcBorders>
              <w:top w:val="single" w:color="DDDDDD" w:sz="1"/>
              <w:left w:val="single" w:color="DDDDDD" w:sz="1"/>
              <w:bottom w:val="single" w:color="DDDDDD" w:sz="1"/>
              <w:right w:val="single" w:color="DDDDDD" w:sz="1"/>
            </w:tcBorders>
            <w:shd w:fill="1A3C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Register with TIA (tia.org.za) MSME and Innovation programmes</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30 Apr 2026</w:t>
            </w:r>
          </w:p>
        </w:tc>
      </w:tr>
      <w:tr>
        <w:tc>
          <w:tcPr>
            <w:tcW w:type="dxa" w:w="500"/>
            <w:tcBorders>
              <w:top w:val="single" w:color="DDDDDD" w:sz="1"/>
              <w:left w:val="single" w:color="DDDDDD" w:sz="1"/>
              <w:bottom w:val="single" w:color="DDDDDD" w:sz="1"/>
              <w:right w:val="single" w:color="DDDDDD" w:sz="1"/>
            </w:tcBorders>
            <w:shd w:fill="1A3C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Register with SEFA for MSME grant and finance eligibility</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15 May 2026</w:t>
            </w:r>
          </w:p>
        </w:tc>
      </w:tr>
      <w:tr>
        <w:tc>
          <w:tcPr>
            <w:tcW w:type="dxa" w:w="500"/>
            <w:tcBorders>
              <w:top w:val="single" w:color="DDDDDD" w:sz="1"/>
              <w:left w:val="single" w:color="DDDDDD" w:sz="1"/>
              <w:bottom w:val="single" w:color="DDDDDD" w:sz="1"/>
              <w:right w:val="single" w:color="DDDDDD" w:sz="1"/>
            </w:tcBorders>
            <w:shd w:fill="1A3C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Register with SEDA township enterprise support programme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15 May 2026</w:t>
            </w:r>
          </w:p>
        </w:tc>
      </w:tr>
      <w:tr>
        <w:tc>
          <w:tcPr>
            <w:tcW w:type="dxa" w:w="500"/>
            <w:tcBorders>
              <w:top w:val="single" w:color="DDDDDD" w:sz="1"/>
              <w:left w:val="single" w:color="DDDDDD" w:sz="1"/>
              <w:bottom w:val="single" w:color="DDDDDD" w:sz="1"/>
              <w:right w:val="single" w:color="DDDDDD" w:sz="1"/>
            </w:tcBorders>
            <w:shd w:fill="1A3C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Update company profile document with AI Policy alignment messaging</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30 Apr 2026</w:t>
            </w:r>
          </w:p>
        </w:tc>
      </w:tr>
      <w:tr>
        <w:tc>
          <w:tcPr>
            <w:tcW w:type="dxa" w:w="500"/>
            <w:tcBorders>
              <w:top w:val="single" w:color="DDDDDD" w:sz="1"/>
              <w:left w:val="single" w:color="DDDDDD" w:sz="1"/>
              <w:bottom w:val="single" w:color="DDDDDD" w:sz="1"/>
              <w:right w:val="single" w:color="DDDDDD" w:sz="1"/>
            </w:tcBorders>
            <w:shd w:fill="1A3C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7</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Write government-facing capability statement (1 page, per sector)</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15 May 2026</w:t>
            </w:r>
          </w:p>
        </w:tc>
      </w:tr>
      <w:tr>
        <w:tc>
          <w:tcPr>
            <w:tcW w:type="dxa" w:w="500"/>
            <w:tcBorders>
              <w:top w:val="single" w:color="DDDDDD" w:sz="1"/>
              <w:left w:val="single" w:color="DDDDDD" w:sz="1"/>
              <w:bottom w:val="single" w:color="DDDDDD" w:sz="1"/>
              <w:right w:val="single" w:color="DDDDDD" w:sz="1"/>
            </w:tcBorders>
            <w:shd w:fill="1A3C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8</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Write B-BBEE Impact Statement for use in all government proposals</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15 May 2026</w:t>
            </w:r>
          </w:p>
        </w:tc>
      </w:tr>
      <w:tr>
        <w:tc>
          <w:tcPr>
            <w:tcW w:type="dxa" w:w="500"/>
            <w:tcBorders>
              <w:top w:val="single" w:color="DDDDDD" w:sz="1"/>
              <w:left w:val="single" w:color="DDDDDD" w:sz="1"/>
              <w:bottom w:val="single" w:color="DDDDDD" w:sz="1"/>
              <w:right w:val="single" w:color="DDDDDD" w:sz="1"/>
            </w:tcBorders>
            <w:shd w:fill="1A3C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9</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Write AI Ethics Statement aligned to policy's 6 responsible AI principles</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31 May 2026</w:t>
            </w:r>
          </w:p>
        </w:tc>
      </w:tr>
      <w:tr>
        <w:tc>
          <w:tcPr>
            <w:tcW w:type="dxa" w:w="500"/>
            <w:tcBorders>
              <w:top w:val="single" w:color="DDDDDD" w:sz="1"/>
              <w:left w:val="single" w:color="DDDDDD" w:sz="1"/>
              <w:bottom w:val="single" w:color="DDDDDD" w:sz="1"/>
              <w:right w:val="single" w:color="DDDDDD" w:sz="1"/>
            </w:tcBorders>
            <w:shd w:fill="1A3C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10</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Register for Google Cloud Partner Programme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31 May 2026</w:t>
            </w:r>
          </w:p>
        </w:tc>
      </w:tr>
      <w:tr>
        <w:tc>
          <w:tcPr>
            <w:tcW w:type="dxa" w:w="9026"/>
            <w:gridSpan w:val="4"/>
            <w:tcBorders>
              <w:top w:val="none" w:color="FFFFFF" w:sz="0"/>
              <w:left w:val="none" w:color="FFFFFF" w:sz="0"/>
              <w:bottom w:val="none" w:color="FFFFFF" w:sz="0"/>
              <w:right w:val="none" w:color="FFFFFF" w:sz="0"/>
            </w:tcBorders>
            <w:shd w:fill="E8F5EE" w:val="clear"/>
            <w:tcMar>
              <w:top w:type="dxa" w:w="60"/>
              <w:left w:type="dxa" w:w="120"/>
              <w:bottom w:type="dxa" w:w="60"/>
              <w:right w:type="dxa" w:w="120"/>
            </w:tcMar>
          </w:tcPr>
          <w:p>
            <w:r>
              <w:rPr>
                <w:rFonts w:ascii="Arial" w:cs="Arial" w:eastAsia="Arial" w:hAnsi="Arial"/>
                <w:b/>
                <w:bCs/>
                <w:color w:val="1A6B3C"/>
                <w:sz w:val="20"/>
                <w:szCs w:val="20"/>
              </w:rPr>
              <w:t xml:space="preserve">PHASE 2  —  ACTIVATION &amp; RELATIONSHIPS  (July–September 2026)</w:t>
            </w:r>
          </w:p>
        </w:tc>
      </w:tr>
      <w:tr>
        <w:tc>
          <w:tcPr>
            <w:tcW w:type="dxa" w:w="500"/>
            <w:tcBorders>
              <w:top w:val="single" w:color="DDDDDD" w:sz="1"/>
              <w:left w:val="single" w:color="DDDDDD" w:sz="1"/>
              <w:bottom w:val="single" w:color="DDDDDD" w:sz="1"/>
              <w:right w:val="single" w:color="DDDDDD" w:sz="1"/>
            </w:tcBorders>
            <w:shd w:fill="1A6B3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11</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Request briefing meeting with TIA Township Innovation Programme manager</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31 Jul 2026</w:t>
            </w:r>
          </w:p>
        </w:tc>
      </w:tr>
      <w:tr>
        <w:tc>
          <w:tcPr>
            <w:tcW w:type="dxa" w:w="500"/>
            <w:tcBorders>
              <w:top w:val="single" w:color="DDDDDD" w:sz="1"/>
              <w:left w:val="single" w:color="DDDDDD" w:sz="1"/>
              <w:bottom w:val="single" w:color="DDDDDD" w:sz="1"/>
              <w:right w:val="single" w:color="DDDDDD" w:sz="1"/>
            </w:tcBorders>
            <w:shd w:fill="1A6B3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12</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Contact Gauteng Department of Education ICT Directorate — propose SkoLiga pilot (5 Soshanguve schools)</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31 Jul 2026</w:t>
            </w:r>
          </w:p>
        </w:tc>
      </w:tr>
      <w:tr>
        <w:tc>
          <w:tcPr>
            <w:tcW w:type="dxa" w:w="500"/>
            <w:tcBorders>
              <w:top w:val="single" w:color="DDDDDD" w:sz="1"/>
              <w:left w:val="single" w:color="DDDDDD" w:sz="1"/>
              <w:bottom w:val="single" w:color="DDDDDD" w:sz="1"/>
              <w:right w:val="single" w:color="DDDDDD" w:sz="1"/>
            </w:tcBorders>
            <w:shd w:fill="1A6B3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13</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Contact Gauteng Department of Health eHealth unit — propose ClinicPulse pilot</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15 Aug 2026</w:t>
            </w:r>
          </w:p>
        </w:tc>
      </w:tr>
      <w:tr>
        <w:tc>
          <w:tcPr>
            <w:tcW w:type="dxa" w:w="500"/>
            <w:tcBorders>
              <w:top w:val="single" w:color="DDDDDD" w:sz="1"/>
              <w:left w:val="single" w:color="DDDDDD" w:sz="1"/>
              <w:bottom w:val="single" w:color="DDDDDD" w:sz="1"/>
              <w:right w:val="single" w:color="DDDDDD" w:sz="1"/>
            </w:tcBorders>
            <w:shd w:fill="1A6B3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14</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Contact Tshwane Metropolitan Municipality Digital Services department</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15 Aug 2026</w:t>
            </w:r>
          </w:p>
        </w:tc>
      </w:tr>
      <w:tr>
        <w:tc>
          <w:tcPr>
            <w:tcW w:type="dxa" w:w="500"/>
            <w:tcBorders>
              <w:top w:val="single" w:color="DDDDDD" w:sz="1"/>
              <w:left w:val="single" w:color="DDDDDD" w:sz="1"/>
              <w:bottom w:val="single" w:color="DDDDDD" w:sz="1"/>
              <w:right w:val="single" w:color="DDDDDD" w:sz="1"/>
            </w:tcBorders>
            <w:shd w:fill="1A6B3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15</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Approach TUT or UJ re: internship/capstone partnership on SkoLiga or ClinicPulse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31 Aug 2026</w:t>
            </w:r>
          </w:p>
        </w:tc>
      </w:tr>
      <w:tr>
        <w:tc>
          <w:tcPr>
            <w:tcW w:type="dxa" w:w="500"/>
            <w:tcBorders>
              <w:top w:val="single" w:color="DDDDDD" w:sz="1"/>
              <w:left w:val="single" w:color="DDDDDD" w:sz="1"/>
              <w:bottom w:val="single" w:color="DDDDDD" w:sz="1"/>
              <w:right w:val="single" w:color="DDDDDD" w:sz="1"/>
            </w:tcBorders>
            <w:shd w:fill="1A6B3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16</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Identify 2 SITA-registered IT contractors actively seeking B-BBEE subcontractors</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15 Aug 2026</w:t>
            </w:r>
          </w:p>
        </w:tc>
      </w:tr>
      <w:tr>
        <w:tc>
          <w:tcPr>
            <w:tcW w:type="dxa" w:w="500"/>
            <w:tcBorders>
              <w:top w:val="single" w:color="DDDDDD" w:sz="1"/>
              <w:left w:val="single" w:color="DDDDDD" w:sz="1"/>
              <w:bottom w:val="single" w:color="DDDDDD" w:sz="1"/>
              <w:right w:val="single" w:color="DDDDDD" w:sz="1"/>
            </w:tcBorders>
            <w:shd w:fill="1A6B3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17</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Attend at least 1 DCDT or TIA stakeholder forum or workshop</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30 Sep 2026</w:t>
            </w:r>
          </w:p>
        </w:tc>
      </w:tr>
      <w:tr>
        <w:tc>
          <w:tcPr>
            <w:tcW w:type="dxa" w:w="500"/>
            <w:tcBorders>
              <w:top w:val="single" w:color="DDDDDD" w:sz="1"/>
              <w:left w:val="single" w:color="DDDDDD" w:sz="1"/>
              <w:bottom w:val="single" w:color="DDDDDD" w:sz="1"/>
              <w:right w:val="single" w:color="DDDDDD" w:sz="1"/>
            </w:tcBorders>
            <w:shd w:fill="1A6B3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18</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Produce written case study for SOS Soshanguve deployment (with photos)</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31 Jul 2026</w:t>
            </w:r>
          </w:p>
        </w:tc>
      </w:tr>
      <w:tr>
        <w:tc>
          <w:tcPr>
            <w:tcW w:type="dxa" w:w="500"/>
            <w:tcBorders>
              <w:top w:val="single" w:color="DDDDDD" w:sz="1"/>
              <w:left w:val="single" w:color="DDDDDD" w:sz="1"/>
              <w:bottom w:val="single" w:color="DDDDDD" w:sz="1"/>
              <w:right w:val="single" w:color="DDDDDD" w:sz="1"/>
            </w:tcBorders>
            <w:shd w:fill="1A6B3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19</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Build and launch AI Readiness Audit product — price and market to SME clients</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31 Aug 2026</w:t>
            </w:r>
          </w:p>
        </w:tc>
      </w:tr>
      <w:tr>
        <w:tc>
          <w:tcPr>
            <w:tcW w:type="dxa" w:w="500"/>
            <w:tcBorders>
              <w:top w:val="single" w:color="DDDDDD" w:sz="1"/>
              <w:left w:val="single" w:color="DDDDDD" w:sz="1"/>
              <w:bottom w:val="single" w:color="DDDDDD" w:sz="1"/>
              <w:right w:val="single" w:color="DDDDDD" w:sz="1"/>
            </w:tcBorders>
            <w:shd w:fill="1A6B3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20</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Scope multilingual WhatsApp AI assistant in Sepedi and Setswana</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30 Sep 2026</w:t>
            </w:r>
          </w:p>
        </w:tc>
      </w:tr>
      <w:tr>
        <w:tc>
          <w:tcPr>
            <w:tcW w:type="dxa" w:w="9026"/>
            <w:gridSpan w:val="4"/>
            <w:tcBorders>
              <w:top w:val="none" w:color="FFFFFF" w:sz="0"/>
              <w:left w:val="none" w:color="FFFFFF" w:sz="0"/>
              <w:bottom w:val="none" w:color="FFFFFF" w:sz="0"/>
              <w:right w:val="none" w:color="FFFFFF" w:sz="0"/>
            </w:tcBorders>
            <w:shd w:fill="FDF6E3" w:val="clear"/>
            <w:tcMar>
              <w:top w:type="dxa" w:w="60"/>
              <w:left w:type="dxa" w:w="120"/>
              <w:bottom w:type="dxa" w:w="60"/>
              <w:right w:type="dxa" w:w="120"/>
            </w:tcMar>
          </w:tcPr>
          <w:p>
            <w:r>
              <w:rPr>
                <w:rFonts w:ascii="Arial" w:cs="Arial" w:eastAsia="Arial" w:hAnsi="Arial"/>
                <w:b/>
                <w:bCs/>
                <w:color w:val="C85A1A"/>
                <w:sz w:val="20"/>
                <w:szCs w:val="20"/>
              </w:rPr>
              <w:t xml:space="preserve">PHASE 3  —  CONTRACTS &amp; SCALE  (October 2026–March 2027)</w:t>
            </w:r>
          </w:p>
        </w:tc>
      </w:tr>
      <w:tr>
        <w:tc>
          <w:tcPr>
            <w:tcW w:type="dxa" w:w="500"/>
            <w:tcBorders>
              <w:top w:val="single" w:color="DDDDDD" w:sz="1"/>
              <w:left w:val="single" w:color="DDDDDD" w:sz="1"/>
              <w:bottom w:val="single" w:color="DDDDDD" w:sz="1"/>
              <w:right w:val="single" w:color="DDDDDD" w:sz="1"/>
            </w:tcBorders>
            <w:shd w:fill="C85A1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21</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Apply to first AI accelerator programme when announced by TIA/SEFA</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When gazetted</w:t>
            </w:r>
          </w:p>
        </w:tc>
      </w:tr>
      <w:tr>
        <w:tc>
          <w:tcPr>
            <w:tcW w:type="dxa" w:w="500"/>
            <w:tcBorders>
              <w:top w:val="single" w:color="DDDDDD" w:sz="1"/>
              <w:left w:val="single" w:color="DDDDDD" w:sz="1"/>
              <w:bottom w:val="single" w:color="DDDDDD" w:sz="1"/>
              <w:right w:val="single" w:color="DDDDDD" w:sz="1"/>
            </w:tcBorders>
            <w:shd w:fill="C85A1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22</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Submit ClinicPulse or SkoLiga for regulatory sandbox consideration</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When gazetted</w:t>
            </w:r>
          </w:p>
        </w:tc>
      </w:tr>
      <w:tr>
        <w:tc>
          <w:tcPr>
            <w:tcW w:type="dxa" w:w="500"/>
            <w:tcBorders>
              <w:top w:val="single" w:color="DDDDDD" w:sz="1"/>
              <w:left w:val="single" w:color="DDDDDD" w:sz="1"/>
              <w:bottom w:val="single" w:color="DDDDDD" w:sz="1"/>
              <w:right w:val="single" w:color="DDDDDD" w:sz="1"/>
            </w:tcBorders>
            <w:shd w:fill="C85A1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23</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File formal proposal with GDE for SkoLiga School AI Marketplace inclusion</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Jan 2027</w:t>
            </w:r>
          </w:p>
        </w:tc>
      </w:tr>
      <w:tr>
        <w:tc>
          <w:tcPr>
            <w:tcW w:type="dxa" w:w="500"/>
            <w:tcBorders>
              <w:top w:val="single" w:color="DDDDDD" w:sz="1"/>
              <w:left w:val="single" w:color="DDDDDD" w:sz="1"/>
              <w:bottom w:val="single" w:color="DDDDDD" w:sz="1"/>
              <w:right w:val="single" w:color="DDDDDD" w:sz="1"/>
            </w:tcBorders>
            <w:shd w:fill="C85A1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24</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Apply for DCDT indigenous language AI grant (Sepedi/Setswana product)</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When gazetted</w:t>
            </w:r>
          </w:p>
        </w:tc>
      </w:tr>
      <w:tr>
        <w:tc>
          <w:tcPr>
            <w:tcW w:type="dxa" w:w="500"/>
            <w:tcBorders>
              <w:top w:val="single" w:color="DDDDDD" w:sz="1"/>
              <w:left w:val="single" w:color="DDDDDD" w:sz="1"/>
              <w:bottom w:val="single" w:color="DDDDDD" w:sz="1"/>
              <w:right w:val="single" w:color="DDDDDD" w:sz="1"/>
            </w:tcBorders>
            <w:shd w:fill="C85A1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25</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Secure first subcontracting arrangement with SITA-registered contractor</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Dec 2026</w:t>
            </w:r>
          </w:p>
        </w:tc>
      </w:tr>
      <w:tr>
        <w:tc>
          <w:tcPr>
            <w:tcW w:type="dxa" w:w="500"/>
            <w:tcBorders>
              <w:top w:val="single" w:color="DDDDDD" w:sz="1"/>
              <w:left w:val="single" w:color="DDDDDD" w:sz="1"/>
              <w:bottom w:val="single" w:color="DDDDDD" w:sz="1"/>
              <w:right w:val="single" w:color="DDDDDD" w:sz="1"/>
            </w:tcBorders>
            <w:shd w:fill="C85A1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26</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Achieve at least 1 named government or parastatal reference client</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Mar 2027</w:t>
            </w:r>
          </w:p>
        </w:tc>
      </w:tr>
      <w:tr>
        <w:tc>
          <w:tcPr>
            <w:tcW w:type="dxa" w:w="500"/>
            <w:tcBorders>
              <w:top w:val="single" w:color="DDDDDD" w:sz="1"/>
              <w:left w:val="single" w:color="DDDDDD" w:sz="1"/>
              <w:bottom w:val="single" w:color="DDDDDD" w:sz="1"/>
              <w:right w:val="single" w:color="DDDDDD" w:sz="1"/>
            </w:tcBorders>
            <w:shd w:fill="C85A1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27</w:t>
            </w:r>
          </w:p>
        </w:tc>
        <w:tc>
          <w:tcPr>
            <w:tcW w:type="dxa" w:w="5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Review and update all government positioning materials for 2027/28 budget cycle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sz w:val="18"/>
                <w:szCs w:val="18"/>
              </w:rPr>
              <w:t xml:space="preserve">Gee</w:t>
            </w:r>
          </w:p>
        </w:tc>
        <w:tc>
          <w:tcPr>
            <w:tcW w:type="dxa" w:w="150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sz w:val="18"/>
                <w:szCs w:val="18"/>
              </w:rPr>
              <w:t xml:space="preserve">Feb 2027</w:t>
            </w:r>
          </w:p>
        </w:tc>
      </w:tr>
    </w:tbl>
    <w:p>
      <w:pPr>
        <w:spacing w:after="80" w:before="80"/>
      </w:pPr>
      <w:r>
        <w:t xml:space="preserve"/>
      </w:r>
    </w:p>
    <w:p>
      <w:pPr>
        <w:pBdr>
          <w:bottom w:val="single" w:color="C8A84B" w:sz="6" w:space="1"/>
        </w:pBdr>
        <w:spacing w:after="80" w:before="80"/>
      </w:pPr>
      <w:r>
        <w:t xml:space="preserve"/>
      </w:r>
    </w:p>
    <w:p>
      <w:pPr>
        <w:spacing w:after="80" w:before="80"/>
      </w:pPr>
      <w:r>
        <w:t xml:space="preserve"/>
      </w:r>
    </w:p>
    <w:p>
      <w:pPr>
        <w:pStyle w:val="Heading1"/>
        <w:spacing w:after="160" w:before="400"/>
      </w:pPr>
      <w:r>
        <w:rPr>
          <w:rFonts w:ascii="Arial" w:cs="Arial" w:eastAsia="Arial" w:hAnsi="Arial"/>
          <w:b/>
          <w:bCs/>
          <w:color w:val="1A3C5E"/>
          <w:sz w:val="30"/>
          <w:szCs w:val="30"/>
        </w:rPr>
        <w:t xml:space="preserve">The Bottom Line</w:t>
      </w:r>
    </w:p>
    <w:p>
      <w:pPr>
        <w:spacing w:after="100" w:before="100"/>
        <w:jc w:val="both"/>
      </w:pPr>
      <w:r>
        <w:rPr>
          <w:rFonts w:ascii="Arial" w:cs="Arial" w:eastAsia="Arial" w:hAnsi="Arial"/>
          <w:sz w:val="21"/>
          <w:szCs w:val="21"/>
        </w:rPr>
        <w:t xml:space="preserve">The South Africa National AI Policy is not a document Carter Digitals should read and file. It is a market signal. It tells you where government money is going, who government wants to spend it with, and what language to speak to get in the room.</w:t>
      </w:r>
    </w:p>
    <w:p>
      <w:pPr>
        <w:spacing w:after="80" w:before="80"/>
      </w:pPr>
      <w:r>
        <w:t xml:space="preserve"/>
      </w:r>
    </w:p>
    <w:p>
      <w:pPr>
        <w:spacing w:after="100" w:before="100"/>
        <w:jc w:val="both"/>
      </w:pPr>
      <w:r>
        <w:rPr>
          <w:rFonts w:ascii="Arial" w:cs="Arial" w:eastAsia="Arial" w:hAnsi="Arial"/>
          <w:sz w:val="21"/>
          <w:szCs w:val="21"/>
        </w:rPr>
        <w:t xml:space="preserve">Carter Digitals already builds the products. Already holds the credentials. Already operates in the communities. The gap between where you are now and where this policy's funding reaches is not a capability gap — it is a positioning gap. And positioning gaps are closed with deliberate, consistent action over 12 months.</w:t>
      </w:r>
    </w:p>
    <w:p>
      <w:pPr>
        <w:spacing w:after="80" w:before="80"/>
      </w:pPr>
      <w:r>
        <w:t xml:space="preserve"/>
      </w:r>
    </w:p>
    <w:p>
      <w:pPr>
        <w:spacing w:after="100" w:before="100"/>
        <w:jc w:val="both"/>
      </w:pPr>
      <w:r>
        <w:rPr>
          <w:rFonts w:ascii="Arial" w:cs="Arial" w:eastAsia="Arial" w:hAnsi="Arial"/>
          <w:sz w:val="21"/>
          <w:szCs w:val="21"/>
        </w:rPr>
        <w:t xml:space="preserve">The 27 actions above are not theoretical. They are the minimum viable positioning programme. Start with actions 1 through 10. Do them in April and May. The rest follows.</w:t>
      </w:r>
    </w:p>
    <w:p>
      <w:pPr>
        <w:spacing w:after="80" w:before="80"/>
      </w:pPr>
      <w:r>
        <w:t xml:space="preserve"/>
      </w:r>
    </w:p>
    <w:tbl>
      <w:tblPr>
        <w:tblW w:type="dxa" w:w="9826"/>
        <w:tblBorders>
          <w:top w:val="none" w:color="FFFFFF" w:sz="0"/>
          <w:left w:val="none" w:color="FFFFFF" w:sz="0"/>
          <w:bottom w:val="none" w:color="FFFFFF" w:sz="0"/>
          <w:right w:val="none" w:color="FFFFFF" w:sz="0"/>
          <w:insideH w:val="single" w:color="auto" w:sz="4"/>
          <w:insideV w:val="single" w:color="auto" w:sz="4"/>
        </w:tblBorders>
      </w:tblPr>
      <w:tblGrid>
        <w:gridCol w:w="9826"/>
      </w:tblGrid>
      <w:tr>
        <w:tc>
          <w:tcPr>
            <w:tcW w:type="dxa" w:w="9826"/>
            <w:tcBorders>
              <w:top w:val="none" w:color="FFFFFF" w:sz="0"/>
              <w:left w:val="none" w:color="FFFFFF" w:sz="0"/>
              <w:bottom w:val="none" w:color="FFFFFF" w:sz="0"/>
              <w:right w:val="none" w:color="FFFFFF" w:sz="0"/>
            </w:tcBorders>
            <w:shd w:fill="1A3C5E" w:val="clear"/>
            <w:tcMar>
              <w:top w:type="dxa" w:w="300"/>
              <w:left w:type="dxa" w:w="400"/>
              <w:bottom w:type="dxa" w:w="300"/>
              <w:right w:type="dxa" w:w="400"/>
            </w:tcMar>
          </w:tcPr>
          <w:p>
            <w:pPr>
              <w:jc w:val="center"/>
            </w:pPr>
            <w:r>
              <w:rPr>
                <w:rFonts w:ascii="Arial" w:cs="Arial" w:eastAsia="Arial" w:hAnsi="Arial"/>
                <w:b/>
                <w:bCs/>
                <w:i/>
                <w:iCs/>
                <w:color w:val="C8A84B"/>
                <w:sz w:val="28"/>
                <w:szCs w:val="28"/>
              </w:rPr>
              <w:t xml:space="preserve">"The policy is the door. Carter Digitals is the key."</w:t>
            </w:r>
          </w:p>
          <w:p>
            <w:pPr>
              <w:spacing w:before="160"/>
              <w:jc w:val="center"/>
            </w:pPr>
            <w:r>
              <w:rPr>
                <w:rFonts w:ascii="Arial" w:cs="Arial" w:eastAsia="Arial" w:hAnsi="Arial"/>
                <w:color w:val="AACCEE"/>
                <w:sz w:val="18"/>
                <w:szCs w:val="18"/>
              </w:rPr>
              <w:t xml:space="preserve">Kabelo Kadiaka  |  Founder, Carter Digitals (Pty) Ltd  |  Soshanguve, Pretoria  |  April 2026</w:t>
            </w:r>
          </w:p>
        </w:tc>
      </w:tr>
    </w:tbl>
    <w:p>
      <w:pPr>
        <w:spacing w:after="80" w:before="8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B" w:sz="4" w:space="1"/>
      </w:pBdr>
      <w:spacing w:before="80"/>
      <w:jc w:val="center"/>
    </w:pPr>
    <w:r>
      <w:rPr>
        <w:rFonts w:ascii="Arial" w:cs="Arial" w:eastAsia="Arial" w:hAnsi="Arial"/>
        <w:color w:val="888888"/>
        <w:sz w:val="17"/>
        <w:szCs w:val="17"/>
      </w:rPr>
      <w:t xml:space="preserve">CONFIDENTIAL  |  Internal Strategy Document  |  Carter Digitals (Pty) Ltd  |  Page </w:t>
    </w:r>
    <w:r>
      <w:rPr>
        <w:rFonts w:ascii="Arial" w:cs="Arial" w:eastAsia="Arial" w:hAnsi="Arial"/>
        <w:color w:val="888888"/>
        <w:sz w:val="17"/>
        <w:szCs w:val="17"/>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1"/>
      </w:pBdr>
      <w:spacing w:after="80"/>
      <w:jc w:val="right"/>
    </w:pPr>
    <w:r>
      <w:rPr>
        <w:rFonts w:ascii="Arial" w:cs="Arial" w:eastAsia="Arial" w:hAnsi="Arial"/>
        <w:color w:val="888888"/>
        <w:sz w:val="17"/>
        <w:szCs w:val="17"/>
      </w:rPr>
      <w:t xml:space="preserve">Carter Digitals (Pty) Ltd  |  AI Policy Strategic Opportunity Brief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2026-04-11T16:43:21.424Z</dcterms:created>
  <dcterms:modified xsi:type="dcterms:W3CDTF">2026-04-11T16:43:21.425Z</dcterms:modified>
</cp:coreProperties>
</file>

<file path=docProps/custom.xml><?xml version="1.0" encoding="utf-8"?>
<Properties xmlns="http://schemas.openxmlformats.org/officeDocument/2006/custom-properties" xmlns:vt="http://schemas.openxmlformats.org/officeDocument/2006/docPropsVTypes"/>
</file>