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/>
        </w:rPr>
      </w:pPr>
      <w:r>
        <w:rPr>
          <w:sz w:val="20"/>
        </w:rPr>
        <w:drawing>
          <wp:inline distT="0" distB="0" distL="0" distR="0">
            <wp:extent cx="2061210" cy="2056129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fImage6317810887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4" cy="20567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MTHOE SAPS CONSTRUCTION TECHNOLOGIES </w:t>
      </w: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PROJECT MANAGEMENT AND </w:t>
      </w: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MARKETING SCHEME</w:t>
      </w: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 NOTES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1. Define Your Target Audience: Identify the specific audience that would benefit from </w:t>
      </w:r>
      <w:r>
        <w:rPr>
          <w:shd w:val="clear" w:color="000000" w:fill="auto"/>
        </w:rPr>
        <w:t xml:space="preserve">your geospatial data software. This could include professionals in fields like urban </w:t>
      </w:r>
      <w:r>
        <w:rPr>
          <w:shd w:val="clear" w:color="000000" w:fill="auto"/>
        </w:rPr>
        <w:t xml:space="preserve">planning, agriculture, environmental research, logistics, or any other industry that relies </w:t>
      </w:r>
      <w:r>
        <w:rPr>
          <w:shd w:val="clear" w:color="000000" w:fill="auto"/>
        </w:rPr>
        <w:t xml:space="preserve">on location-based data.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2. Develop a Compelling Value Proposition: Clearly communicate the unique value and </w:t>
      </w:r>
      <w:r>
        <w:rPr>
          <w:shd w:val="clear" w:color="000000" w:fill="auto"/>
        </w:rPr>
        <w:t xml:space="preserve">benefits of your geospatial data software. Highlight its features, such as data accuracy, </w:t>
      </w:r>
      <w:r>
        <w:rPr>
          <w:shd w:val="clear" w:color="000000" w:fill="auto"/>
        </w:rPr>
        <w:t xml:space="preserve">visualization capabilities, ease of use, or integration with other systems. Explain how it </w:t>
      </w:r>
      <w:r>
        <w:rPr>
          <w:shd w:val="clear" w:color="000000" w:fill="auto"/>
        </w:rPr>
        <w:t xml:space="preserve">solves specific challenges or improves efficiency for your target audience.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3. Content Marketing: Create high-quality content that educates and engages your </w:t>
      </w:r>
      <w:r>
        <w:rPr>
          <w:shd w:val="clear" w:color="000000" w:fill="auto"/>
        </w:rPr>
        <w:t xml:space="preserve">target audience. Develop blog posts, articles, case studies, and whitepapers that </w:t>
      </w:r>
      <w:r>
        <w:rPr>
          <w:shd w:val="clear" w:color="000000" w:fill="auto"/>
        </w:rPr>
        <w:t xml:space="preserve">showcase the potential applications and benefits of geospatial data in their respective </w:t>
      </w:r>
      <w:r>
        <w:rPr>
          <w:shd w:val="clear" w:color="000000" w:fill="auto"/>
        </w:rPr>
        <w:t xml:space="preserve">industries. Optimize the content for relevant keywords to improve search engine visibility.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4. Social Media Engagement: Leverage social media platforms to interact with your </w:t>
      </w:r>
      <w:r>
        <w:rPr>
          <w:shd w:val="clear" w:color="000000" w:fill="auto"/>
        </w:rPr>
        <w:t xml:space="preserve">audience, share valuable content, and build a community around geospatial data. </w:t>
      </w:r>
      <w:r>
        <w:rPr>
          <w:shd w:val="clear" w:color="000000" w:fill="auto"/>
        </w:rPr>
        <w:t xml:space="preserve">Identify the most relevant platforms for your target audience, such as LinkedIn, Twitter, </w:t>
      </w:r>
      <w:r>
        <w:rPr>
          <w:shd w:val="clear" w:color="000000" w:fill="auto"/>
        </w:rPr>
        <w:t xml:space="preserve">or industry-specific forums, and actively participate in discussions, answer questions, and </w:t>
      </w:r>
      <w:r>
        <w:rPr>
          <w:shd w:val="clear" w:color="000000" w:fill="auto"/>
        </w:rPr>
        <w:t xml:space="preserve">share insights.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5. Beta Program: Launch a beta program to offer your geospatial data software to a </w:t>
      </w:r>
      <w:r>
        <w:rPr>
          <w:shd w:val="clear" w:color="000000" w:fill="auto"/>
        </w:rPr>
        <w:t xml:space="preserve">select group of users. This allows you to gather feedback, identify areas for improvement, </w:t>
      </w:r>
      <w:r>
        <w:rPr>
          <w:shd w:val="clear" w:color="000000" w:fill="auto"/>
        </w:rPr>
        <w:t xml:space="preserve">and build credibility. Encourage beta users to provide testimonials and share their </w:t>
      </w:r>
      <w:r>
        <w:rPr>
          <w:shd w:val="clear" w:color="000000" w:fill="auto"/>
        </w:rPr>
        <w:t xml:space="preserve">positive experiences to generate buzz and attract more potential customers.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6. Influencer Outreach: Identify influencers, thought leaders, and industry experts in the </w:t>
      </w:r>
      <w:r>
        <w:rPr>
          <w:shd w:val="clear" w:color="000000" w:fill="auto"/>
        </w:rPr>
        <w:t xml:space="preserve">geospatial data field. Engage with them through social media, guest blogging, or </w:t>
      </w:r>
      <w:r>
        <w:rPr>
          <w:shd w:val="clear" w:color="000000" w:fill="auto"/>
        </w:rPr>
        <w:t xml:space="preserve">collaboration opportunities. Their endorsement and support can help increase your </w:t>
      </w:r>
      <w:r>
        <w:rPr>
          <w:shd w:val="clear" w:color="000000" w:fill="auto"/>
        </w:rPr>
        <w:t xml:space="preserve">brand visibility and credibility among your target audience.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7. Search Engine Optimization (SEO): Optimize your website for search engines by </w:t>
      </w:r>
      <w:r>
        <w:rPr>
          <w:shd w:val="clear" w:color="000000" w:fill="auto"/>
        </w:rPr>
        <w:t xml:space="preserve">conducting keyword research and incorporating relevant keywords into your website </w:t>
      </w:r>
      <w:r>
        <w:rPr>
          <w:shd w:val="clear" w:color="000000" w:fill="auto"/>
        </w:rPr>
        <w:t xml:space="preserve">content, meta tags, and headings. Improve your website’s load speed, mobile </w:t>
      </w:r>
      <w:r>
        <w:rPr>
          <w:shd w:val="clear" w:color="000000" w:fill="auto"/>
        </w:rPr>
        <w:t xml:space="preserve">responsiveness, and user experience to enhance SEO performance and increase organic </w:t>
      </w:r>
      <w:r>
        <w:rPr>
          <w:shd w:val="clear" w:color="000000" w:fill="auto"/>
        </w:rPr>
        <w:t>traffic.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8. Email Marketing Campaigns: Build an email list by offering valuable resources, such as </w:t>
      </w:r>
      <w:r>
        <w:rPr>
          <w:shd w:val="clear" w:color="000000" w:fill="auto"/>
        </w:rPr>
        <w:t xml:space="preserve">e-books, webinars, or exclusive content related to geospatial data. Nurture your </w:t>
      </w:r>
      <w:r>
        <w:rPr>
          <w:shd w:val="clear" w:color="000000" w:fill="auto"/>
        </w:rPr>
        <w:t xml:space="preserve">subscribers with regular newsletters, product updates, and relevant industry insights. Use </w:t>
      </w:r>
      <w:r>
        <w:rPr>
          <w:shd w:val="clear" w:color="000000" w:fill="auto"/>
        </w:rPr>
        <w:t xml:space="preserve">email marketing to drive engagement, generate leads, and convert prospects into </w:t>
      </w:r>
      <w:r>
        <w:rPr>
          <w:shd w:val="clear" w:color="000000" w:fill="auto"/>
        </w:rPr>
        <w:t>customers.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9. Partnerships and Collaborations: Explore partnerships with complementary businesses </w:t>
      </w:r>
      <w:r>
        <w:rPr>
          <w:shd w:val="clear" w:color="000000" w:fill="auto"/>
        </w:rPr>
        <w:t xml:space="preserve">or organizations in the geospatial data ecosystem. This could involve co-marketing </w:t>
      </w:r>
      <w:r>
        <w:rPr>
          <w:shd w:val="clear" w:color="000000" w:fill="auto"/>
        </w:rPr>
        <w:t xml:space="preserve">initiatives, joint webinars, or mutually beneficial collaborations to expand your reach and </w:t>
      </w:r>
      <w:r>
        <w:rPr>
          <w:shd w:val="clear" w:color="000000" w:fill="auto"/>
        </w:rPr>
        <w:t xml:space="preserve">tap into new customer segments.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10. Measure and Optimize: Track key marketing metrics such as website traffic, </w:t>
      </w:r>
      <w:r>
        <w:rPr>
          <w:shd w:val="clear" w:color="000000" w:fill="auto"/>
        </w:rPr>
        <w:t xml:space="preserve">conversion rates, engagement, and customer acquisition costs. Use analytics tools to </w:t>
      </w:r>
      <w:r>
        <w:rPr>
          <w:shd w:val="clear" w:color="000000" w:fill="auto"/>
        </w:rPr>
        <w:t xml:space="preserve">gain insights into user behavior and make data-driven decisions. Continuously optimize </w:t>
      </w:r>
      <w:r>
        <w:rPr>
          <w:shd w:val="clear" w:color="000000" w:fill="auto"/>
        </w:rPr>
        <w:t xml:space="preserve">your marketing strategy based on the results and feedback received.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000000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000000" w:fill="auto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000000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3178108877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11</Pages>
  <Paragraphs>0</Paragraphs>
  <Words>502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gueste30e0e1bc06cd8f9c8083599ac586689</dc:creator>
  <cp:lastModifiedBy/>
</cp:coreProperties>
</file>