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z w:val="20"/>
        </w:rPr>
        <w:drawing>
          <wp:inline distT="0" distB="0" distL="0" distR="0">
            <wp:extent cx="1691640" cy="170688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631781268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707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Mthokozisi Thabiso Sapuwa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5182 Luveve 4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Bulawayo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>Zimbabwe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mthoesaps06@gmail.com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ID number: 08-2044904S66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25 April 2024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NORTHVEIL INCORPORATED (PVT) LTD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5416 Luveve 4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Bulawayo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Thaboluhle Ndlovu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ID number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: 08-2000803G56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Subject: Software Beta Project Contract for Mthoe Saps Construction Technologies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Bulawayo Mapping Engine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Dear  NORTHVEIL INCORPORATED (PVT) LTD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This Software Beta Project Contract (”Contract”) is entered into between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Mthokozisi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Thabiso Sapuwa</w:t>
      </w:r>
      <w:r>
        <w:rPr>
          <w:shd w:val="clear" w:color="000000" w:fill="auto"/>
        </w:rPr>
        <w:t xml:space="preserve"> (”Developer”) and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Northveil Incorporatd (Pvt) Ltd Company </w:t>
      </w:r>
      <w:r>
        <w:rPr>
          <w:shd w:val="clear" w:color="000000" w:fill="auto"/>
        </w:rPr>
        <w:t xml:space="preserve">(”Company”) on this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26 April 2024</w:t>
      </w:r>
      <w:r>
        <w:rPr>
          <w:shd w:val="clear" w:color="000000" w:fill="auto"/>
        </w:rPr>
        <w:t xml:space="preserve"> (”Effective Date”).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1. Scope of Work: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a. Developer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has</w:t>
      </w:r>
      <w:r>
        <w:rPr>
          <w:shd w:val="clear" w:color="000000" w:fill="auto"/>
        </w:rPr>
        <w:t xml:space="preserve"> develop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ed</w:t>
      </w:r>
      <w:r>
        <w:rPr>
          <w:shd w:val="clear" w:color="000000" w:fill="auto"/>
        </w:rPr>
        <w:t xml:space="preserve"> a software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that is a Bulawayo Mapping and Surveying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Engine under Mthoe Saps Construction Technologies </w:t>
      </w:r>
      <w:r>
        <w:rPr>
          <w:shd w:val="clear" w:color="000000" w:fill="auto"/>
        </w:rPr>
        <w:t xml:space="preserve">beta project (”Beta Project”) as </w:t>
      </w:r>
      <w:r>
        <w:rPr>
          <w:shd w:val="clear" w:color="000000" w:fill="auto"/>
        </w:rPr>
        <w:t xml:space="preserve">specified in the project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documentation</w:t>
      </w:r>
      <w:r>
        <w:rPr>
          <w:shd w:val="clear" w:color="000000" w:fill="auto"/>
        </w:rPr>
        <w:t xml:space="preserve">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drawn up by the Developer</w:t>
      </w:r>
      <w:r>
        <w:rPr>
          <w:shd w:val="clear" w:color="000000" w:fill="auto"/>
        </w:rPr>
        <w:t>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b. The Beta Project will be developed and tested in collaboration with Company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Nd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other affiliated beta project companies</w:t>
      </w:r>
      <w:r>
        <w:rPr>
          <w:shd w:val="clear" w:color="000000" w:fill="auto"/>
        </w:rPr>
        <w:t xml:space="preserve">, and it will be used for beta testing purposes to </w:t>
      </w:r>
      <w:r>
        <w:rPr>
          <w:shd w:val="clear" w:color="000000" w:fill="auto"/>
        </w:rPr>
        <w:t xml:space="preserve">evaluate its functionality, usability, and performance.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2. Ownership and Rights: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a. The Developer retains all intellectual property rights, including copyrights, patents, </w:t>
      </w:r>
      <w:r>
        <w:rPr>
          <w:shd w:val="clear" w:color="000000" w:fill="auto"/>
        </w:rPr>
        <w:t xml:space="preserve">and trade secrets, associated with the Beta Project.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b. Company shall have a non-exclusive, non-transferable right to use the Beta Project </w:t>
      </w:r>
      <w:r>
        <w:rPr>
          <w:shd w:val="clear" w:color="000000" w:fill="auto"/>
        </w:rPr>
        <w:t xml:space="preserve">solely for the purpose of evaluating its performance during the beta testing period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and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the Developer agrees to pay a fee of 6% net profit of the beta project to Northveil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Incoporated Private Limited for the use of this legal paperwrk and documentation during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the beta testing period.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c.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During beta testing and U</w:t>
      </w:r>
      <w:r>
        <w:rPr>
          <w:shd w:val="clear" w:color="000000" w:fill="auto"/>
        </w:rPr>
        <w:t xml:space="preserve">pon completion of the beta testing period, the ownership </w:t>
      </w:r>
      <w:r>
        <w:rPr>
          <w:shd w:val="clear" w:color="000000" w:fill="auto"/>
        </w:rPr>
        <w:t xml:space="preserve">and rights to the Beta Project shall be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retained</w:t>
      </w:r>
      <w:r>
        <w:rPr>
          <w:shd w:val="clear" w:color="000000" w:fill="auto"/>
        </w:rPr>
        <w:t xml:space="preserve">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by the</w:t>
      </w:r>
      <w:r>
        <w:rPr>
          <w:shd w:val="clear" w:color="000000" w:fill="auto"/>
        </w:rPr>
        <w:t xml:space="preserve"> Developer.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3. Confidentiality: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a. Both parties acknowledge that during the course of the beta testing, confidential </w:t>
      </w:r>
      <w:r>
        <w:rPr>
          <w:shd w:val="clear" w:color="000000" w:fill="auto"/>
        </w:rPr>
        <w:t xml:space="preserve">information may be disclosed to each other.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b. Both parties agree to maintain the confidentiality of any proprietary or confidential </w:t>
      </w:r>
      <w:r>
        <w:rPr>
          <w:shd w:val="clear" w:color="000000" w:fill="auto"/>
        </w:rPr>
        <w:t xml:space="preserve">information received from the other party and not to disclose it to any third party </w:t>
      </w:r>
      <w:r>
        <w:rPr>
          <w:shd w:val="clear" w:color="000000" w:fill="auto"/>
        </w:rPr>
        <w:t xml:space="preserve">without prior written consent.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c. This obligation of confidentiality shall survive the termination of this Contract.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4. Responsibilities: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a. Developer agrees to provide necessary technical support and bug fixes related to </w:t>
      </w:r>
      <w:r>
        <w:rPr>
          <w:shd w:val="clear" w:color="000000" w:fill="auto"/>
        </w:rPr>
        <w:t xml:space="preserve">the Beta Project during the beta testing period.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b. Company agrees to provide timely feedback, bug reports, and suggestions to </w:t>
      </w:r>
      <w:r>
        <w:rPr>
          <w:shd w:val="clear" w:color="000000" w:fill="auto"/>
        </w:rPr>
        <w:t xml:space="preserve">Developer for improving the Beta Project.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5. Beta Testing Period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and length of agreement/ cintrsct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   a. The beta testing period shall commence on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13 April 2024</w:t>
      </w:r>
      <w:r>
        <w:rPr>
          <w:shd w:val="clear" w:color="000000" w:fill="auto"/>
        </w:rPr>
        <w:t xml:space="preserve"> and continue for a </w:t>
      </w:r>
      <w:r>
        <w:rPr>
          <w:shd w:val="clear" w:color="000000" w:fill="auto"/>
        </w:rPr>
        <w:t xml:space="preserve">period of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12 months until 13 April 2025 </w:t>
      </w:r>
      <w:r>
        <w:rPr>
          <w:shd w:val="clear" w:color="000000" w:fill="auto"/>
        </w:rPr>
        <w:t xml:space="preserve">unless terminated earlier by either party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thus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the beta testing period is the term that this contract will serve. The basic set up of this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contract is for the Developer to be able to run this beta project under the legal licencing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and documented paperwork of NORTHVEIL INCORPORATED (PVT)LTD.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b. Either party may terminate the beta testing period by providing written notice to </w:t>
      </w:r>
      <w:r>
        <w:rPr>
          <w:shd w:val="clear" w:color="000000" w:fill="auto"/>
        </w:rPr>
        <w:t xml:space="preserve">the other party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or the Developer can make an advance payment for the use of the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Northveil INCORPORATED documentation that will be a buyout for the contract and the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calculation terms of the buyout will be agreed upon by both contracted parties.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6. Transition to Standalone Pvt Ltd Company: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a. At the end of the beta testing period, the Beta Project shall transition into a </w:t>
      </w:r>
      <w:r>
        <w:rPr>
          <w:shd w:val="clear" w:color="000000" w:fill="auto"/>
        </w:rPr>
        <w:t xml:space="preserve">standalone Pvt Ltd company, separate from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Northveil Incorporate Pvt Ltd </w:t>
      </w:r>
      <w:r>
        <w:rPr>
          <w:shd w:val="clear" w:color="000000" w:fill="auto"/>
        </w:rPr>
        <w:t>Company.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b. Developer shall have the right to establish and operate the standalone Pvt Ltd </w:t>
      </w:r>
      <w:r>
        <w:rPr>
          <w:shd w:val="clear" w:color="000000" w:fill="auto"/>
        </w:rPr>
        <w:t xml:space="preserve">company, subject to compliance with applicable laws and regulations.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7. Compensation: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a.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As stated on section 5b. That Northveile Incorporated Pvt Ltd </w:t>
      </w:r>
      <w:r>
        <w:rPr>
          <w:shd w:val="clear" w:color="000000" w:fill="auto"/>
        </w:rPr>
        <w:t xml:space="preserve">shall receive </w:t>
      </w:r>
      <w:r>
        <w:rPr>
          <w:shd w:val="clear" w:color="000000" w:fill="auto"/>
        </w:rPr>
        <w:t xml:space="preserve">compensation as agreed upon in a separate agreement or as per the terms specified in </w:t>
      </w:r>
      <w:r>
        <w:rPr>
          <w:shd w:val="clear" w:color="000000" w:fill="auto"/>
        </w:rPr>
        <w:t xml:space="preserve">the project proposal.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8. Governing Law and Jurisdiction: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This Contract shall be governed by and construed in accordance with the laws of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Bulawayo. </w:t>
      </w:r>
      <w:r>
        <w:rPr>
          <w:shd w:val="clear" w:color="000000" w:fill="auto"/>
        </w:rPr>
        <w:t xml:space="preserve">Any disputes arising out of or in connection with this Contract shall be </w:t>
      </w:r>
      <w:r>
        <w:rPr>
          <w:shd w:val="clear" w:color="000000" w:fill="auto"/>
        </w:rPr>
        <w:t xml:space="preserve">submitted to the exclusive jurisdiction of the courts of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Bulawayo Jurisdiction.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9. Entire Agreement: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  This Contract constitutes the entire agreement between the parties and supersedes </w:t>
      </w:r>
      <w:r>
        <w:rPr>
          <w:shd w:val="clear" w:color="000000" w:fill="auto"/>
        </w:rPr>
        <w:t xml:space="preserve">all prior discussions, negotiations, and agreements, whether written or oral, relating to </w:t>
      </w:r>
      <w:r>
        <w:rPr>
          <w:shd w:val="clear" w:color="000000" w:fill="auto"/>
        </w:rPr>
        <w:t xml:space="preserve">the subject matter herein.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Please indicate your acceptance of the terms of this Contract by signing below. This </w:t>
      </w:r>
      <w:r>
        <w:rPr>
          <w:shd w:val="clear" w:color="000000" w:fill="auto"/>
        </w:rPr>
        <w:t xml:space="preserve">Contract shall become effective as of the date first written above.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Mthokozisi Thabiso Sapuwa</w:t>
      </w:r>
    </w:p>
    <w:p>
      <w:pPr>
        <w:spacing w:lineRule="auto" w:line="259"/>
        <w:rPr>
          <w:shd w:val="clear" w:color="000000" w:fill="auto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ID number: 08-2044904S66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Developer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Signature: _______________________________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Date: _______________________________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Northveil Incorporated Pvt Limited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Thaboluhle Ndlovu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ID number: 08-2000803G56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Company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Signature: _______________________________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Date: _______________________________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317812680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