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3187700" cy="3187065"/>
            <wp:effectExtent l="132080" t="132080" r="138430" b="13906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240201062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3187700"/>
                    </a:xfrm>
                    <a:prstGeom prst="snip2DiagRect"/>
                    <a:solidFill>
                      <a:srgbClr val="EDEDED"/>
                    </a:solidFill>
                    <a:ln w="88900" cap="sq" cmpd="sng">
                      <a:solidFill>
                        <a:prstClr val="white"/>
                      </a:solidFill>
                      <a:prstDash val="solid"/>
                      <a:miter lim="800000"/>
                    </a:ln>
                    <a:effectLst>
                      <a:outerShdw blurRad="88900" algn="tl">
                        <a:prstClr val="black">
                          <a:alpha val="45000"/>
                        </a:prst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threePt" dir="t">
                        <a:rot lat="0" lon="0" rev="0"/>
                      </a:lightRig>
                    </a:scene3d>
                    <a:sp3d prstMaterial="warmMatte">
                      <a:bevelT h="12700" w="25400"/>
                      <a:bevelB h="76200" w="76200"/>
                    </a:sp3d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BULAWAYO MAPPING AND SURVEYING ENGINE INSTALLATION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AND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USER GUIDE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clients and users do not have to go through the tedious task of installing the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app and the long hours needed to downlaod these softwares. The software engine is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loaded on a streamlit cloud server so all Terra Vista Engine dependencises are found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online thus the engine can only be used while online to fully achieve its capabilities.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framework of the engine is like this: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1. The engine is designed and uploaded to the Mthoe Saps Construction Technologies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github repository with a virtual environment full of the engines dependencies that is no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downlaods will be made by the users.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2. The repo is then accesed by the Engine hosting cloud which is streamlit and that is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where the users will then access the engine.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3. The users or clients of the engine will receive a link from the Developer’s (Mthokozisi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Thabiso Sapuwa) email to access the engine.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4. Users/ clients will then click on the link and use the engine any time they need to at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their own convenience. The engine comes with an installation option to install the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engine link to you computer or phone and then access it without having to navigate to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email directory all the time. 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USER TUTORIAL 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The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software allows users to interact with the maps, download and manipulate the data,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and add other combined elements to view multiple datasets simultaneously, it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showcases advanced interactivity and flexibility in data exploration and analysis.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We describe it as an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“interactive mapping and data visualization platform” or a “dynamic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geospatial data analysis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engine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.” It goes beyond basic mapping functionalities by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empowering users to actively engage with the data, customize the visualizations, and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perform additional analysis by combining multiple datasets.</w:t>
      </w: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The ability to download and manipulate the data indicates that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the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software provides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data export capabilities and potentially supports data transformations or analysis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operations that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the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users to manipulate the data according to their needs.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As stated above, Terra Vista is</w:t>
      </w:r>
      <w:r>
        <w:rPr>
          <w:shd w:val="clear"/>
        </w:rPr>
        <w:t xml:space="preserve"> a comprehensive mapping software with additional data </w:t>
      </w:r>
      <w:r>
        <w:rPr>
          <w:shd w:val="clear"/>
        </w:rPr>
        <w:t xml:space="preserve">processing and visualization capabilities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by</w:t>
      </w:r>
      <w:r>
        <w:rPr>
          <w:shd w:val="clear"/>
        </w:rPr>
        <w:t xml:space="preserve"> allowing users to upload Excel files, </w:t>
      </w:r>
      <w:r>
        <w:rPr>
          <w:shd w:val="clear"/>
        </w:rPr>
        <w:t xml:space="preserve">processing the data, and rendering it on both 2D and 3D maps, as well as plotting charts </w:t>
      </w:r>
      <w:r>
        <w:rPr>
          <w:shd w:val="clear"/>
        </w:rPr>
        <w:t xml:space="preserve">on a separate tab, </w:t>
      </w:r>
      <w:r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Terra Vista </w:t>
      </w:r>
      <w:r>
        <w:rPr>
          <w:shd w:val="clear"/>
        </w:rPr>
        <w:t xml:space="preserve">offers a range of functionalities for data exploration, </w:t>
      </w:r>
      <w:r>
        <w:rPr>
          <w:shd w:val="clear"/>
        </w:rPr>
        <w:t xml:space="preserve">analysis, and visualization in the context of mapping. It combines data processing, </w:t>
      </w:r>
      <w:r>
        <w:rPr>
          <w:shd w:val="clear"/>
        </w:rPr>
        <w:t xml:space="preserve">mapping, and charting capabilities into a single application, providing users with a </w:t>
      </w:r>
      <w:r>
        <w:rPr>
          <w:shd w:val="clear"/>
        </w:rPr>
        <w:t xml:space="preserve">comprehensive toolset for working with geospatial data.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0"/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02010624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214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