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3187700" cy="3187065"/>
            <wp:effectExtent l="132080" t="132080" r="138430" b="139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240201062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187700"/>
                    </a:xfrm>
                    <a:prstGeom prst="snip2DiagRect"/>
                    <a:solidFill>
                      <a:srgbClr val="EDEDED"/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88900" rotWithShape="false" algn="tl">
                        <a:prstClr val="black">
                          <a:alpha val="45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hreePt" dir="t">
                        <a:rot lat="0" lon="0" rev="0"/>
                      </a:lightRig>
                    </a:scene3d>
                    <a:sp3d>
                      <a:bevelT h="12700" w="25400"/>
                      <a:bevelB/>
                    </a:sp3d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BULAWAYO MAPPING AND SURVEYING ENGINE INSTALLATION USER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GUIDE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clients and users do not have to go through the tedious task of installing the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app and the long hours needed to downlaod these softwares. The software engine is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loaded on a streamlit cloud server so all Terra Vista Engine dependencises are found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online thus the engine can only be used while online to fully achieve its capabilities.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framework of the engine is like this: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The engine is designed and uploaded to the Mthoe Saps Construction Technologies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github repository with a virtual environment full of the engines dependencies that is no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downlaods will be made by the users.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The repo is then accesed by the Engine hosting cloud which is streamlit and that is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where the users will then access the engine.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The users or clients of the engine will receive a link from the Developer’s (Mthokozisi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Thabiso Sapuwa) email to access the engine.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Users/ clients will then click on the link and use the engine any time they need to at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their own convenience. The engine comes with an installation option to install the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engine link to you computer or phone and then access it without having to navigate to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email directory all the time.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02010624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214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