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Arial" w:hAnsi="Arial"/>
          <w:b/>
          <w:color w:val="0C2340"/>
          <w:sz w:val="36"/>
        </w:rPr>
        <w:t>MICHAEL THOMPSON, M.S.</w:t>
      </w:r>
    </w:p>
    <w:p>
      <w:pPr>
        <w:spacing w:before="0" w:after="40"/>
        <w:jc w:val="center"/>
      </w:pPr>
      <w:r>
        <w:rPr>
          <w:rFonts w:ascii="Arial" w:hAnsi="Arial"/>
          <w:b/>
          <w:color w:val="005F4B"/>
          <w:sz w:val="21"/>
        </w:rPr>
        <w:t>SENIOR DIRECTOR — ENTERPRISE OT CYBERSECURITY &amp; OPERATIONAL RESILIENCE</w:t>
      </w:r>
    </w:p>
    <w:p>
      <w:pPr>
        <w:spacing w:before="0" w:after="60"/>
        <w:jc w:val="center"/>
      </w:pPr>
      <w:r>
        <w:rPr>
          <w:rFonts w:ascii="Arial" w:hAnsi="Arial"/>
          <w:b/>
          <w:color w:val="0C2340"/>
          <w:sz w:val="18"/>
        </w:rPr>
        <w:t>Global Manufacturing Operations | Purdue Model Architecture | Connected Labs | Co-Author, NIST SP 800-82 Rev 3</w:t>
      </w:r>
    </w:p>
    <w:p>
      <w:pPr>
        <w:spacing w:before="0" w:after="120"/>
        <w:jc w:val="center"/>
      </w:pPr>
      <w:r>
        <w:rPr>
          <w:rFonts w:ascii="Arial" w:hAnsi="Arial"/>
          <w:color w:val="464646"/>
          <w:sz w:val="17"/>
        </w:rPr>
        <w:t>Baltimore, MD  |  (410) 530-4439  |  Mthompson6782@gmail.com  |  linkedin.com/in/michaelthompson-exec</w:t>
      </w:r>
    </w:p>
    <w:p>
      <w:pPr>
        <w:keepNext/>
        <w:spacing w:before="120" w:after="40"/>
        <w:pBdr>
          <w:bottom w:val="single" w:sz="6" w:space="2" w:color="0C2340"/>
        </w:pBdr>
      </w:pPr>
      <w:r>
        <w:rPr>
          <w:rFonts w:ascii="Arial" w:hAnsi="Arial"/>
          <w:b/>
          <w:color w:val="0C2340"/>
          <w:sz w:val="20"/>
        </w:rPr>
        <w:t>EXECUTIVE SUMMARY</w:t>
      </w:r>
    </w:p>
    <w:p>
      <w:pPr>
        <w:spacing w:before="40" w:after="80" w:line="259" w:lineRule="auto"/>
      </w:pPr>
      <w:r>
        <w:rPr>
          <w:rFonts w:ascii="Arial" w:hAnsi="Arial"/>
          <w:color w:val="232323"/>
          <w:sz w:val="17"/>
        </w:rPr>
        <w:t>Accomplished engineering executive and Johns Hopkins-trained Systems Engineer with 25+ years directing enterprise Operational Technology (OT) cybersecurity, industrial automation, and critical infrastructure resilience across multi-business unit global conglomerates. Co-author of NIST SP 800-82 Rev 3 (Guide to Operational Technology Security) and active committee contributor for IEC 62443 / ISA 99 and ISA 84. Proven record defining enterprise OT security strategies, governance frameworks, and multi-year roadmaps across global manufacturing sites, production facilities, and connected engineering test labs.</w:t>
        <w:br/>
        <w:br/>
        <w:t>Trusted executive advisor partnering across CISO, CTO, and Business Unit DT Global Supply Chain organizations to balance Safety, Quality, Delivery, and Cost (SQDC). Expert in operationalizing Purdue Model network segmentation (Levels 0–5, Level 3.5 OT DMZs), deploying OT visibility platforms integrated with ServiceNow CMDB, establishing Enterprise Vulnerability Management (EVM) standard work with compensating controls for legacy assets, and enforcing robust remote access (Jumpbox, MFA, HPA). Proven leader of global engineering direct reports with multi-million-dollar CAPEX/OPEX accountability, translating complex cyber-physical risk into prioritized investment decisions for the Executive Leadership Team (ELT) and Board of Directors.</w:t>
      </w:r>
    </w:p>
    <w:p>
      <w:pPr>
        <w:keepNext/>
        <w:spacing w:before="120" w:after="40"/>
        <w:pBdr>
          <w:bottom w:val="single" w:sz="6" w:space="2" w:color="0C2340"/>
        </w:pBdr>
      </w:pPr>
      <w:r>
        <w:rPr>
          <w:rFonts w:ascii="Arial" w:hAnsi="Arial"/>
          <w:b/>
          <w:color w:val="0C2340"/>
          <w:sz w:val="20"/>
        </w:rPr>
        <w:t>EXECUTIVE CORE COMPETENCIES</w:t>
      </w:r>
    </w:p>
    <w:p>
      <w:pPr>
        <w:pStyle w:val="ListBullet"/>
        <w:spacing w:before="10" w:after="30" w:line="252" w:lineRule="auto"/>
      </w:pPr>
      <w:r>
        <w:rPr>
          <w:rFonts w:ascii="Arial" w:hAnsi="Arial"/>
          <w:b/>
          <w:color w:val="0C2340"/>
          <w:sz w:val="17"/>
        </w:rPr>
        <w:t xml:space="preserve">Strategy &amp; Governance: </w:t>
      </w:r>
      <w:r>
        <w:rPr>
          <w:rFonts w:ascii="Arial" w:hAnsi="Arial"/>
          <w:color w:val="232323"/>
          <w:sz w:val="17"/>
        </w:rPr>
        <w:t>Enterprise OT Security Strategy &amp; Multi-Year Roadmaps • NIST SP 800-82 Rev 3 &amp; IEC 62443 Standards • Minimum Security Requirements &amp; Policy Authoring • Executive Leadership Team (ELT) &amp; Board Advisory • CAPEX/OPEX Budget Prioritization • SQDC Operational Risk Balancing</w:t>
      </w:r>
    </w:p>
    <w:p>
      <w:pPr>
        <w:pStyle w:val="ListBullet"/>
        <w:spacing w:before="10" w:after="30" w:line="252" w:lineRule="auto"/>
      </w:pPr>
      <w:r>
        <w:rPr>
          <w:rFonts w:ascii="Arial" w:hAnsi="Arial"/>
          <w:b/>
          <w:color w:val="0C2340"/>
          <w:sz w:val="17"/>
        </w:rPr>
        <w:t xml:space="preserve">Architecture &amp; Delivery: </w:t>
      </w:r>
      <w:r>
        <w:rPr>
          <w:rFonts w:ascii="Arial" w:hAnsi="Arial"/>
          <w:color w:val="232323"/>
          <w:sz w:val="17"/>
        </w:rPr>
        <w:t>Purdue Model (Levels 0–5) &amp; Level 3.5 DMZ Architecture • Next-Gen Firewalls (NGFW) &amp; VLAN Micro-Segmentation • OT Asset Visibility &amp; ServiceNow CMDB Integration • Enterprise Vulnerability Management (EVM) Standard Work • Remote Access: Jumpbox, MFA &amp; High Privileged Access (HPA) • Compensating Controls for Unpatchable Legacy OT</w:t>
      </w:r>
    </w:p>
    <w:p>
      <w:pPr>
        <w:pStyle w:val="ListBullet"/>
        <w:spacing w:before="10" w:after="30" w:line="252" w:lineRule="auto"/>
      </w:pPr>
      <w:r>
        <w:rPr>
          <w:rFonts w:ascii="Arial" w:hAnsi="Arial"/>
          <w:b/>
          <w:color w:val="0C2340"/>
          <w:sz w:val="17"/>
        </w:rPr>
        <w:t xml:space="preserve">Leadership &amp; Operations: </w:t>
      </w:r>
      <w:r>
        <w:rPr>
          <w:rFonts w:ascii="Arial" w:hAnsi="Arial"/>
          <w:color w:val="232323"/>
          <w:sz w:val="17"/>
        </w:rPr>
        <w:t>Global OT Cybersecurity Team Leadership (Direct Reports) • Matrixed Coalition Building (CISO / CTO / Supply Chain DT) • Connected Lab &amp; Testbed Security Formalization • Detection &amp; Telemetry (Splunk, CrowdStrike, Qualys) • Incident Response &amp; Operational Continuity • Lean &amp; Six Sigma Operational Discipline (Master Black Belt)</w:t>
      </w:r>
    </w:p>
    <w:p>
      <w:pPr>
        <w:keepNext/>
        <w:spacing w:before="120" w:after="40"/>
        <w:pBdr>
          <w:bottom w:val="single" w:sz="6" w:space="2" w:color="0C2340"/>
        </w:pBdr>
      </w:pPr>
      <w:r>
        <w:rPr>
          <w:rFonts w:ascii="Arial" w:hAnsi="Arial"/>
          <w:b/>
          <w:color w:val="0C2340"/>
          <w:sz w:val="20"/>
        </w:rPr>
        <w:t>PROFESSIONAL EXPERIENCE</w:t>
      </w:r>
    </w:p>
    <w:tbl>
      <w:tblPr>
        <w:tblW w:type="auto" w:w="0"/>
        <w:jc w:val="center"/>
        <w:tblLayout w:type="fixed"/>
        <w:tblLook w:firstColumn="1" w:firstRow="1" w:lastColumn="0" w:lastRow="0" w:noHBand="0" w:noVBand="1" w:val="04A0"/>
      </w:tblPr>
      <w:tblGrid>
        <w:gridCol w:w="7344"/>
        <w:gridCol w:w="3312"/>
      </w:tblGrid>
      <w:tr>
        <w:tc>
          <w:tcPr>
            <w:tcW w:type="dxa" w:w="5328"/>
            <w:tcMar>
              <w:top w:w="0" w:type="dxa"/>
              <w:bottom w:w="0" w:type="dxa"/>
              <w:left w:w="0" w:type="dxa"/>
              <w:right w:w="0" w:type="dxa"/>
            </w:tcMar>
          </w:tcPr>
          <w:p>
            <w:pPr>
              <w:keepNext/>
              <w:spacing w:before="80" w:after="0"/>
            </w:pPr>
            <w:r>
              <w:rPr>
                <w:rFonts w:ascii="Arial" w:hAnsi="Arial"/>
                <w:b/>
                <w:color w:val="0C2340"/>
                <w:sz w:val="19"/>
              </w:rPr>
              <w:t>THE MITRE CORPORATION</w:t>
            </w:r>
            <w:r>
              <w:rPr>
                <w:rFonts w:ascii="Arial" w:hAnsi="Arial"/>
                <w:color w:val="464646"/>
                <w:sz w:val="17"/>
              </w:rPr>
              <w:t xml:space="preserve"> | Critical Infrastructure &amp; ICS Cybersecurity</w:t>
              <w:br/>
            </w:r>
            <w:r>
              <w:rPr>
                <w:rFonts w:ascii="Arial" w:hAnsi="Arial"/>
                <w:b/>
                <w:color w:val="005F4B"/>
                <w:sz w:val="18"/>
              </w:rPr>
              <w:t>Principal Engineer &amp; Outcome Lead (Supporting NIST, DOE, CISA)</w:t>
            </w:r>
          </w:p>
        </w:tc>
        <w:tc>
          <w:tcPr>
            <w:tcW w:type="dxa" w:w="5328"/>
            <w:tcMar>
              <w:top w:w="0" w:type="dxa"/>
              <w:bottom w:w="0" w:type="dxa"/>
              <w:left w:w="0" w:type="dxa"/>
              <w:right w:w="0" w:type="dxa"/>
            </w:tcMar>
          </w:tcPr>
          <w:p>
            <w:pPr>
              <w:keepNext/>
              <w:spacing w:before="80" w:after="0"/>
              <w:jc w:val="right"/>
            </w:pPr>
            <w:r>
              <w:rPr>
                <w:rFonts w:ascii="Arial" w:hAnsi="Arial"/>
                <w:b/>
                <w:color w:val="464646"/>
                <w:sz w:val="17"/>
              </w:rPr>
              <w:t>2021 – Present</w:t>
            </w:r>
          </w:p>
        </w:tc>
      </w:tr>
    </w:tbl>
    <w:p>
      <w:pPr>
        <w:keepNext/>
        <w:spacing w:before="20" w:after="40"/>
      </w:pPr>
      <w:r>
        <w:rPr>
          <w:rFonts w:ascii="Arial" w:hAnsi="Arial"/>
          <w:i/>
          <w:color w:val="464646"/>
          <w:sz w:val="16"/>
        </w:rPr>
        <w:t>Direct national-scale cyber-physical security programs, author foundational federal standards, and engineer defense-in-depth protections for critical energy, manufacturing, and nuclear facilities.</w:t>
      </w:r>
    </w:p>
    <w:p>
      <w:pPr>
        <w:pStyle w:val="ListBullet"/>
        <w:spacing w:before="10" w:after="30" w:line="252" w:lineRule="auto"/>
      </w:pPr>
      <w:r>
        <w:rPr>
          <w:rFonts w:ascii="Arial" w:hAnsi="Arial"/>
          <w:b/>
          <w:color w:val="0C2340"/>
          <w:sz w:val="17"/>
        </w:rPr>
        <w:t xml:space="preserve">Federal Standard Co-Authorship: </w:t>
      </w:r>
      <w:r>
        <w:rPr>
          <w:rFonts w:ascii="Arial" w:hAnsi="Arial"/>
          <w:color w:val="232323"/>
          <w:sz w:val="17"/>
        </w:rPr>
        <w:t>Co-authored the benchmark federal guidance, NIST SP 800-82 Rev 3 (Guide to Operational Technology Security), defining modern ICS defense principles, Purdue Model zone-conduit design, and minimum security baselines implemented across global critical infrastructure.</w:t>
      </w:r>
    </w:p>
    <w:p>
      <w:pPr>
        <w:pStyle w:val="ListBullet"/>
        <w:spacing w:before="10" w:after="30" w:line="252" w:lineRule="auto"/>
      </w:pPr>
      <w:r>
        <w:rPr>
          <w:rFonts w:ascii="Arial" w:hAnsi="Arial"/>
          <w:b/>
          <w:color w:val="0C2340"/>
          <w:sz w:val="17"/>
        </w:rPr>
        <w:t xml:space="preserve">Energy &amp; Nuclear Reactor Resilience: </w:t>
      </w:r>
      <w:r>
        <w:rPr>
          <w:rFonts w:ascii="Arial" w:hAnsi="Arial"/>
          <w:color w:val="232323"/>
          <w:sz w:val="17"/>
        </w:rPr>
        <w:t>Engineered fail-safe digital instrumentation and control (I&amp;C) architectures, safety instrumented system (SIS) protections, and zero-trust OT network boundaries for next-generation nuclear facilities (SMR/MMR) and power generation infrastructure.</w:t>
      </w:r>
    </w:p>
    <w:p>
      <w:pPr>
        <w:pStyle w:val="ListBullet"/>
        <w:spacing w:before="10" w:after="30" w:line="252" w:lineRule="auto"/>
      </w:pPr>
      <w:r>
        <w:rPr>
          <w:rFonts w:ascii="Arial" w:hAnsi="Arial"/>
          <w:b/>
          <w:color w:val="0C2340"/>
          <w:sz w:val="17"/>
        </w:rPr>
        <w:t xml:space="preserve">Lab &amp; Connected Testbed Security: </w:t>
      </w:r>
      <w:r>
        <w:rPr>
          <w:rFonts w:ascii="Arial" w:hAnsi="Arial"/>
          <w:color w:val="232323"/>
          <w:sz w:val="17"/>
        </w:rPr>
        <w:t>Formalized cybersecurity architecture and continuous monitoring protocols for national-scale energy testbeds and OT research labs, preventing lateral traversal between enterprise networks and cyber-physical experimentation environments.</w:t>
      </w:r>
    </w:p>
    <w:p>
      <w:pPr>
        <w:pStyle w:val="ListBullet"/>
        <w:spacing w:before="10" w:after="30" w:line="252" w:lineRule="auto"/>
      </w:pPr>
      <w:r>
        <w:rPr>
          <w:rFonts w:ascii="Arial" w:hAnsi="Arial"/>
          <w:b/>
          <w:color w:val="0C2340"/>
          <w:sz w:val="17"/>
        </w:rPr>
        <w:t xml:space="preserve">Vulnerability &amp; Threat Modeling: </w:t>
      </w:r>
      <w:r>
        <w:rPr>
          <w:rFonts w:ascii="Arial" w:hAnsi="Arial"/>
          <w:color w:val="232323"/>
          <w:sz w:val="17"/>
        </w:rPr>
        <w:t>Conducted systemic cyber-physical threat modeling, non-intrusive OT security evaluations, and supply chain vulnerability assessments across energy generation, rail, and chemical manufacturing sectors.</w:t>
      </w:r>
    </w:p>
    <w:p>
      <w:pPr>
        <w:pStyle w:val="ListBullet"/>
        <w:spacing w:before="10" w:after="30" w:line="252" w:lineRule="auto"/>
      </w:pPr>
      <w:r>
        <w:rPr>
          <w:rFonts w:ascii="Arial" w:hAnsi="Arial"/>
          <w:b/>
          <w:color w:val="0C2340"/>
          <w:sz w:val="17"/>
        </w:rPr>
        <w:t xml:space="preserve">Executive &amp; Agency Advisory: </w:t>
      </w:r>
      <w:r>
        <w:rPr>
          <w:rFonts w:ascii="Arial" w:hAnsi="Arial"/>
          <w:color w:val="232323"/>
          <w:sz w:val="17"/>
        </w:rPr>
        <w:t>Briefed federal agency executives, utility leadership, and congressional committees, translating complex OT vulnerabilities and attack vectors into clear risk mitigation roadmaps and multi-million-dollar capital investment strategies.</w:t>
      </w:r>
    </w:p>
    <w:tbl>
      <w:tblPr>
        <w:tblW w:type="auto" w:w="0"/>
        <w:jc w:val="center"/>
        <w:tblLayout w:type="fixed"/>
        <w:tblLook w:firstColumn="1" w:firstRow="1" w:lastColumn="0" w:lastRow="0" w:noHBand="0" w:noVBand="1" w:val="04A0"/>
      </w:tblPr>
      <w:tblGrid>
        <w:gridCol w:w="7344"/>
        <w:gridCol w:w="3312"/>
      </w:tblGrid>
      <w:tr>
        <w:tc>
          <w:tcPr>
            <w:tcW w:type="dxa" w:w="5328"/>
            <w:tcMar>
              <w:top w:w="0" w:type="dxa"/>
              <w:bottom w:w="0" w:type="dxa"/>
              <w:left w:w="0" w:type="dxa"/>
              <w:right w:w="0" w:type="dxa"/>
            </w:tcMar>
          </w:tcPr>
          <w:p>
            <w:pPr>
              <w:keepNext/>
              <w:spacing w:before="80" w:after="0"/>
            </w:pPr>
            <w:r>
              <w:rPr>
                <w:rFonts w:ascii="Arial" w:hAnsi="Arial"/>
                <w:b/>
                <w:color w:val="0C2340"/>
                <w:sz w:val="19"/>
              </w:rPr>
              <w:t>CAPGEMINI</w:t>
            </w:r>
            <w:r>
              <w:rPr>
                <w:rFonts w:ascii="Arial" w:hAnsi="Arial"/>
                <w:color w:val="464646"/>
                <w:sz w:val="17"/>
              </w:rPr>
              <w:t xml:space="preserve"> | Technology Consulting</w:t>
              <w:br/>
            </w:r>
            <w:r>
              <w:rPr>
                <w:rFonts w:ascii="Arial" w:hAnsi="Arial"/>
                <w:b/>
                <w:color w:val="005F4B"/>
                <w:sz w:val="18"/>
              </w:rPr>
              <w:t>Senior Consultant / Program Manager — OT Technology &amp; Industrial Systems</w:t>
            </w:r>
          </w:p>
        </w:tc>
        <w:tc>
          <w:tcPr>
            <w:tcW w:type="dxa" w:w="5328"/>
            <w:tcMar>
              <w:top w:w="0" w:type="dxa"/>
              <w:bottom w:w="0" w:type="dxa"/>
              <w:left w:w="0" w:type="dxa"/>
              <w:right w:w="0" w:type="dxa"/>
            </w:tcMar>
          </w:tcPr>
          <w:p>
            <w:pPr>
              <w:keepNext/>
              <w:spacing w:before="80" w:after="0"/>
              <w:jc w:val="right"/>
            </w:pPr>
            <w:r>
              <w:rPr>
                <w:rFonts w:ascii="Arial" w:hAnsi="Arial"/>
                <w:b/>
                <w:color w:val="464646"/>
                <w:sz w:val="17"/>
              </w:rPr>
              <w:t>2019 – 2021</w:t>
            </w:r>
          </w:p>
        </w:tc>
      </w:tr>
    </w:tbl>
    <w:p>
      <w:pPr>
        <w:keepNext/>
        <w:spacing w:before="20" w:after="40"/>
      </w:pPr>
      <w:r>
        <w:rPr>
          <w:rFonts w:ascii="Arial" w:hAnsi="Arial"/>
          <w:i/>
          <w:color w:val="464646"/>
          <w:sz w:val="16"/>
        </w:rPr>
        <w:t>Directed cybersecurity roadmaps and digital modernization programs for heavily regulated energy, utility, and process manufacturing clients.</w:t>
      </w:r>
    </w:p>
    <w:p>
      <w:pPr>
        <w:pStyle w:val="ListBullet"/>
        <w:spacing w:before="10" w:after="30" w:line="252" w:lineRule="auto"/>
      </w:pPr>
      <w:r>
        <w:rPr>
          <w:rFonts w:ascii="Arial" w:hAnsi="Arial"/>
          <w:b/>
          <w:color w:val="0C2340"/>
          <w:sz w:val="17"/>
        </w:rPr>
        <w:t xml:space="preserve">Strategic Security Roadmaps: </w:t>
      </w:r>
      <w:r>
        <w:rPr>
          <w:rFonts w:ascii="Arial" w:hAnsi="Arial"/>
          <w:color w:val="232323"/>
          <w:sz w:val="17"/>
        </w:rPr>
        <w:t>Formulated comprehensive multi-year OT security strategies and compliance frameworks aligned with IEC 62443, NIST 800-82, and NERC CIP, eliminating governance gaps between corporate IT and manufacturing plant operations.</w:t>
      </w:r>
    </w:p>
    <w:p>
      <w:pPr>
        <w:pStyle w:val="ListBullet"/>
        <w:spacing w:before="10" w:after="30" w:line="252" w:lineRule="auto"/>
      </w:pPr>
      <w:r>
        <w:rPr>
          <w:rFonts w:ascii="Arial" w:hAnsi="Arial"/>
          <w:b/>
          <w:color w:val="0C2340"/>
          <w:sz w:val="17"/>
        </w:rPr>
        <w:t xml:space="preserve">OT Network Segmentation &amp; Governance: </w:t>
      </w:r>
      <w:r>
        <w:rPr>
          <w:rFonts w:ascii="Arial" w:hAnsi="Arial"/>
          <w:color w:val="232323"/>
          <w:sz w:val="17"/>
        </w:rPr>
        <w:t>Directed engineering teams in designing Purdue Level 3.5 DMZs, deploying Next-Generation Firewalls, and enforcing strict firewall conduit rules to secure legacy DCS and SCADA networks without risking production downtime.</w:t>
      </w:r>
    </w:p>
    <w:p>
      <w:pPr>
        <w:pStyle w:val="ListBullet"/>
        <w:spacing w:before="10" w:after="30" w:line="252" w:lineRule="auto"/>
      </w:pPr>
      <w:r>
        <w:rPr>
          <w:rFonts w:ascii="Arial" w:hAnsi="Arial"/>
          <w:b/>
          <w:color w:val="0C2340"/>
          <w:sz w:val="17"/>
        </w:rPr>
        <w:t xml:space="preserve">Program Delivery &amp; Execution: </w:t>
      </w:r>
      <w:r>
        <w:rPr>
          <w:rFonts w:ascii="Arial" w:hAnsi="Arial"/>
          <w:color w:val="232323"/>
          <w:sz w:val="17"/>
        </w:rPr>
        <w:t>Managed full-lifecycle security workstreams, leading cross-functional consultant and client teams, tracking program KPIs, and delivering milestone progress reviews to client executive leadership.</w:t>
      </w:r>
    </w:p>
    <w:tbl>
      <w:tblPr>
        <w:tblW w:type="auto" w:w="0"/>
        <w:jc w:val="center"/>
        <w:tblLayout w:type="fixed"/>
        <w:tblLook w:firstColumn="1" w:firstRow="1" w:lastColumn="0" w:lastRow="0" w:noHBand="0" w:noVBand="1" w:val="04A0"/>
      </w:tblPr>
      <w:tblGrid>
        <w:gridCol w:w="7344"/>
        <w:gridCol w:w="3312"/>
      </w:tblGrid>
      <w:tr>
        <w:tc>
          <w:tcPr>
            <w:tcW w:type="dxa" w:w="5328"/>
            <w:tcMar>
              <w:top w:w="0" w:type="dxa"/>
              <w:bottom w:w="0" w:type="dxa"/>
              <w:left w:w="0" w:type="dxa"/>
              <w:right w:w="0" w:type="dxa"/>
            </w:tcMar>
          </w:tcPr>
          <w:p>
            <w:pPr>
              <w:keepNext/>
              <w:spacing w:before="80" w:after="0"/>
            </w:pPr>
            <w:r>
              <w:rPr>
                <w:rFonts w:ascii="Arial" w:hAnsi="Arial"/>
                <w:b/>
                <w:color w:val="0C2340"/>
                <w:sz w:val="19"/>
              </w:rPr>
              <w:t>AWC, INC.</w:t>
            </w:r>
            <w:r>
              <w:rPr>
                <w:rFonts w:ascii="Arial" w:hAnsi="Arial"/>
                <w:color w:val="464646"/>
                <w:sz w:val="17"/>
              </w:rPr>
              <w:t xml:space="preserve"> | Industrial Automation &amp; Technology Solutions</w:t>
              <w:br/>
            </w:r>
            <w:r>
              <w:rPr>
                <w:rFonts w:ascii="Arial" w:hAnsi="Arial"/>
                <w:b/>
                <w:color w:val="005F4B"/>
                <w:sz w:val="18"/>
              </w:rPr>
              <w:t>Chief Engineer and Technology Officer — OT Technology</w:t>
            </w:r>
          </w:p>
        </w:tc>
        <w:tc>
          <w:tcPr>
            <w:tcW w:type="dxa" w:w="5328"/>
            <w:tcMar>
              <w:top w:w="0" w:type="dxa"/>
              <w:bottom w:w="0" w:type="dxa"/>
              <w:left w:w="0" w:type="dxa"/>
              <w:right w:w="0" w:type="dxa"/>
            </w:tcMar>
          </w:tcPr>
          <w:p>
            <w:pPr>
              <w:keepNext/>
              <w:spacing w:before="80" w:after="0"/>
              <w:jc w:val="right"/>
            </w:pPr>
            <w:r>
              <w:rPr>
                <w:rFonts w:ascii="Arial" w:hAnsi="Arial"/>
                <w:b/>
                <w:color w:val="464646"/>
                <w:sz w:val="17"/>
              </w:rPr>
              <w:t>2018 – 2019</w:t>
            </w:r>
          </w:p>
        </w:tc>
      </w:tr>
    </w:tbl>
    <w:p>
      <w:pPr>
        <w:keepNext/>
        <w:spacing w:before="20" w:after="40"/>
      </w:pPr>
      <w:r>
        <w:rPr>
          <w:rFonts w:ascii="Arial" w:hAnsi="Arial"/>
          <w:i/>
          <w:color w:val="464646"/>
          <w:sz w:val="16"/>
        </w:rPr>
        <w:t>Steered technology strategy, automation engineering, and OT cybersecurity policy across industrial manufacturing and municipal infrastructure accounts.</w:t>
      </w:r>
    </w:p>
    <w:p>
      <w:pPr>
        <w:pStyle w:val="ListBullet"/>
        <w:spacing w:before="10" w:after="30" w:line="252" w:lineRule="auto"/>
      </w:pPr>
      <w:r>
        <w:rPr>
          <w:rFonts w:ascii="Arial" w:hAnsi="Arial"/>
          <w:b/>
          <w:color w:val="0C2340"/>
          <w:sz w:val="17"/>
        </w:rPr>
        <w:t xml:space="preserve">IT/OT Cyber &amp; Safety Governance: </w:t>
      </w:r>
      <w:r>
        <w:rPr>
          <w:rFonts w:ascii="Arial" w:hAnsi="Arial"/>
          <w:color w:val="232323"/>
          <w:sz w:val="17"/>
        </w:rPr>
        <w:t>Authored enterprise-wide IT/OT cybersecurity governance standards and functional safety policies adhering to ANSI/ISA 84 / IEC 61508 and ANSI/ISA 99 / IEC 62443.</w:t>
      </w:r>
    </w:p>
    <w:p>
      <w:pPr>
        <w:pStyle w:val="ListBullet"/>
        <w:spacing w:before="10" w:after="30" w:line="252" w:lineRule="auto"/>
      </w:pPr>
      <w:r>
        <w:rPr>
          <w:rFonts w:ascii="Arial" w:hAnsi="Arial"/>
          <w:b/>
          <w:color w:val="0C2340"/>
          <w:sz w:val="17"/>
        </w:rPr>
        <w:t xml:space="preserve">Operational Efficiency &amp; Automation: </w:t>
      </w:r>
      <w:r>
        <w:rPr>
          <w:rFonts w:ascii="Arial" w:hAnsi="Arial"/>
          <w:color w:val="232323"/>
          <w:sz w:val="17"/>
        </w:rPr>
        <w:t>Integrated advanced process control, robotic automation, and industrial IoT telemetry, driving a 40% reduction in operating costs while elevating operational uptime and asset visibility.</w:t>
      </w:r>
    </w:p>
    <w:p>
      <w:pPr>
        <w:pStyle w:val="ListBullet"/>
        <w:spacing w:before="10" w:after="30" w:line="252" w:lineRule="auto"/>
      </w:pPr>
      <w:r>
        <w:rPr>
          <w:rFonts w:ascii="Arial" w:hAnsi="Arial"/>
          <w:b/>
          <w:color w:val="0C2340"/>
          <w:sz w:val="17"/>
        </w:rPr>
        <w:t xml:space="preserve">Compensating Controls for Legacy Assets: </w:t>
      </w:r>
      <w:r>
        <w:rPr>
          <w:rFonts w:ascii="Arial" w:hAnsi="Arial"/>
          <w:color w:val="232323"/>
          <w:sz w:val="17"/>
        </w:rPr>
        <w:t>Established standardized defense-in-depth compensating controls (network isolation, unidirectional data diodes, read-only gateways) for unpatchable field controllers.</w:t>
      </w:r>
    </w:p>
    <w:tbl>
      <w:tblPr>
        <w:tblW w:type="auto" w:w="0"/>
        <w:jc w:val="center"/>
        <w:tblLayout w:type="fixed"/>
        <w:tblLook w:firstColumn="1" w:firstRow="1" w:lastColumn="0" w:lastRow="0" w:noHBand="0" w:noVBand="1" w:val="04A0"/>
      </w:tblPr>
      <w:tblGrid>
        <w:gridCol w:w="7344"/>
        <w:gridCol w:w="3312"/>
      </w:tblGrid>
      <w:tr>
        <w:tc>
          <w:tcPr>
            <w:tcW w:type="dxa" w:w="5328"/>
            <w:tcMar>
              <w:top w:w="0" w:type="dxa"/>
              <w:bottom w:w="0" w:type="dxa"/>
              <w:left w:w="0" w:type="dxa"/>
              <w:right w:w="0" w:type="dxa"/>
            </w:tcMar>
          </w:tcPr>
          <w:p>
            <w:pPr>
              <w:keepNext/>
              <w:spacing w:before="80" w:after="0"/>
            </w:pPr>
            <w:r>
              <w:rPr>
                <w:rFonts w:ascii="Arial" w:hAnsi="Arial"/>
                <w:b/>
                <w:color w:val="0C2340"/>
                <w:sz w:val="19"/>
              </w:rPr>
              <w:t>KOCH INDUSTRIES</w:t>
            </w:r>
            <w:r>
              <w:rPr>
                <w:rFonts w:ascii="Arial" w:hAnsi="Arial"/>
                <w:color w:val="464646"/>
                <w:sz w:val="17"/>
              </w:rPr>
              <w:t xml:space="preserve"> | Global Multi-Segment Manufacturing Conglomerate</w:t>
              <w:br/>
            </w:r>
            <w:r>
              <w:rPr>
                <w:rFonts w:ascii="Arial" w:hAnsi="Arial"/>
                <w:b/>
                <w:color w:val="005F4B"/>
                <w:sz w:val="18"/>
              </w:rPr>
              <w:t>Director of Business Continuity &amp; ICS Cyber Resilience</w:t>
            </w:r>
          </w:p>
        </w:tc>
        <w:tc>
          <w:tcPr>
            <w:tcW w:type="dxa" w:w="5328"/>
            <w:tcMar>
              <w:top w:w="0" w:type="dxa"/>
              <w:bottom w:w="0" w:type="dxa"/>
              <w:left w:w="0" w:type="dxa"/>
              <w:right w:w="0" w:type="dxa"/>
            </w:tcMar>
          </w:tcPr>
          <w:p>
            <w:pPr>
              <w:keepNext/>
              <w:spacing w:before="80" w:after="0"/>
              <w:jc w:val="right"/>
            </w:pPr>
            <w:r>
              <w:rPr>
                <w:rFonts w:ascii="Arial" w:hAnsi="Arial"/>
                <w:b/>
                <w:color w:val="464646"/>
                <w:sz w:val="17"/>
              </w:rPr>
              <w:t>2016 – 2018</w:t>
            </w:r>
          </w:p>
        </w:tc>
      </w:tr>
    </w:tbl>
    <w:p>
      <w:pPr>
        <w:keepNext/>
        <w:spacing w:before="20" w:after="40"/>
      </w:pPr>
      <w:r>
        <w:rPr>
          <w:rFonts w:ascii="Arial" w:hAnsi="Arial"/>
          <w:i/>
          <w:color w:val="464646"/>
          <w:sz w:val="16"/>
        </w:rPr>
        <w:t>Directed enterprise-wide industrial control system cybersecurity, operational resilience, and disaster recovery across a diversified global manufacturing footprint spanning refining, chemicals, pulp/paper, and materials.</w:t>
      </w:r>
    </w:p>
    <w:p>
      <w:pPr>
        <w:pStyle w:val="ListBullet"/>
        <w:spacing w:before="10" w:after="30" w:line="252" w:lineRule="auto"/>
      </w:pPr>
      <w:r>
        <w:rPr>
          <w:rFonts w:ascii="Arial" w:hAnsi="Arial"/>
          <w:b/>
          <w:color w:val="0C2340"/>
          <w:sz w:val="17"/>
        </w:rPr>
        <w:t xml:space="preserve">Enterprise OT Security Governance: </w:t>
      </w:r>
      <w:r>
        <w:rPr>
          <w:rFonts w:ascii="Arial" w:hAnsi="Arial"/>
          <w:color w:val="232323"/>
          <w:sz w:val="17"/>
        </w:rPr>
        <w:t>Established unified OT security governance, minimum security baselines, and vulnerability management standards across dozens of global manufacturing facilities operating under distinct business unit leadership.</w:t>
      </w:r>
    </w:p>
    <w:p>
      <w:pPr>
        <w:pStyle w:val="ListBullet"/>
        <w:spacing w:before="10" w:after="30" w:line="252" w:lineRule="auto"/>
      </w:pPr>
      <w:r>
        <w:rPr>
          <w:rFonts w:ascii="Arial" w:hAnsi="Arial"/>
          <w:b/>
          <w:color w:val="0C2340"/>
          <w:sz w:val="17"/>
        </w:rPr>
        <w:t xml:space="preserve">Multi-Business Unit Alignment: </w:t>
      </w:r>
      <w:r>
        <w:rPr>
          <w:rFonts w:ascii="Arial" w:hAnsi="Arial"/>
          <w:color w:val="232323"/>
          <w:sz w:val="17"/>
        </w:rPr>
        <w:t>Partnered closely with C-level executives, plant managers, and corporate IT/DT leadership to align cybersecurity investments with business unit production targets, balancing safety, quality, delivery, and cost (SQDC).</w:t>
      </w:r>
    </w:p>
    <w:p>
      <w:pPr>
        <w:pStyle w:val="ListBullet"/>
        <w:spacing w:before="10" w:after="30" w:line="252" w:lineRule="auto"/>
      </w:pPr>
      <w:r>
        <w:rPr>
          <w:rFonts w:ascii="Arial" w:hAnsi="Arial"/>
          <w:b/>
          <w:color w:val="0C2340"/>
          <w:sz w:val="17"/>
        </w:rPr>
        <w:t xml:space="preserve">Remote Access &amp; HPA Controls: </w:t>
      </w:r>
      <w:r>
        <w:rPr>
          <w:rFonts w:ascii="Arial" w:hAnsi="Arial"/>
          <w:color w:val="232323"/>
          <w:sz w:val="17"/>
        </w:rPr>
        <w:t>Architected secure vendor remote access frameworks utilizing jumpbox bastions, mandatory multi-factor authentication (MFA), and session recording, eliminating unmonitored modem and third-party VPN entry points.</w:t>
      </w:r>
    </w:p>
    <w:p>
      <w:pPr>
        <w:pStyle w:val="ListBullet"/>
        <w:spacing w:before="10" w:after="30" w:line="252" w:lineRule="auto"/>
      </w:pPr>
      <w:r>
        <w:rPr>
          <w:rFonts w:ascii="Arial" w:hAnsi="Arial"/>
          <w:b/>
          <w:color w:val="0C2340"/>
          <w:sz w:val="17"/>
        </w:rPr>
        <w:t xml:space="preserve">Global Team Leadership &amp; Mentorship: </w:t>
      </w:r>
      <w:r>
        <w:rPr>
          <w:rFonts w:ascii="Arial" w:hAnsi="Arial"/>
          <w:color w:val="232323"/>
          <w:sz w:val="17"/>
        </w:rPr>
        <w:t>Built, led, and mentored a high-performing global team of 20+ direct engineers and analysts; instituted training programs that upskilled over 100 plant floor engineers in cyber-physical resilience.</w:t>
      </w:r>
    </w:p>
    <w:p>
      <w:pPr>
        <w:pStyle w:val="ListBullet"/>
        <w:spacing w:before="10" w:after="30" w:line="252" w:lineRule="auto"/>
      </w:pPr>
      <w:r>
        <w:rPr>
          <w:rFonts w:ascii="Arial" w:hAnsi="Arial"/>
          <w:b/>
          <w:color w:val="0C2340"/>
          <w:sz w:val="17"/>
        </w:rPr>
        <w:t xml:space="preserve">Incident Response &amp; Operational Playbooks: </w:t>
      </w:r>
      <w:r>
        <w:rPr>
          <w:rFonts w:ascii="Arial" w:hAnsi="Arial"/>
          <w:color w:val="232323"/>
          <w:sz w:val="17"/>
        </w:rPr>
        <w:t>Authored enterprise cyber-physical incident response playbooks and executed simulated crisis response exercises, establishing rapid containment and fail-safe recovery procedures for manufacturing lines.</w:t>
      </w:r>
    </w:p>
    <w:tbl>
      <w:tblPr>
        <w:tblW w:type="auto" w:w="0"/>
        <w:jc w:val="center"/>
        <w:tblLayout w:type="fixed"/>
        <w:tblLook w:firstColumn="1" w:firstRow="1" w:lastColumn="0" w:lastRow="0" w:noHBand="0" w:noVBand="1" w:val="04A0"/>
      </w:tblPr>
      <w:tblGrid>
        <w:gridCol w:w="7344"/>
        <w:gridCol w:w="3312"/>
      </w:tblGrid>
      <w:tr>
        <w:tc>
          <w:tcPr>
            <w:tcW w:type="dxa" w:w="5328"/>
            <w:tcMar>
              <w:top w:w="0" w:type="dxa"/>
              <w:bottom w:w="0" w:type="dxa"/>
              <w:left w:w="0" w:type="dxa"/>
              <w:right w:w="0" w:type="dxa"/>
            </w:tcMar>
          </w:tcPr>
          <w:p>
            <w:pPr>
              <w:keepNext/>
              <w:spacing w:before="80" w:after="0"/>
            </w:pPr>
            <w:r>
              <w:rPr>
                <w:rFonts w:ascii="Arial" w:hAnsi="Arial"/>
                <w:b/>
                <w:color w:val="0C2340"/>
                <w:sz w:val="19"/>
              </w:rPr>
              <w:t>KOCH INDUSTRIES</w:t>
            </w:r>
            <w:r>
              <w:rPr>
                <w:rFonts w:ascii="Arial" w:hAnsi="Arial"/>
                <w:color w:val="464646"/>
                <w:sz w:val="17"/>
              </w:rPr>
              <w:t xml:space="preserve"> | Manufacturing Operations</w:t>
              <w:br/>
            </w:r>
            <w:r>
              <w:rPr>
                <w:rFonts w:ascii="Arial" w:hAnsi="Arial"/>
                <w:b/>
                <w:color w:val="005F4B"/>
                <w:sz w:val="18"/>
              </w:rPr>
              <w:t>Operational Excellence Automation Engineering Leader</w:t>
            </w:r>
          </w:p>
        </w:tc>
        <w:tc>
          <w:tcPr>
            <w:tcW w:type="dxa" w:w="5328"/>
            <w:tcMar>
              <w:top w:w="0" w:type="dxa"/>
              <w:bottom w:w="0" w:type="dxa"/>
              <w:left w:w="0" w:type="dxa"/>
              <w:right w:w="0" w:type="dxa"/>
            </w:tcMar>
          </w:tcPr>
          <w:p>
            <w:pPr>
              <w:keepNext/>
              <w:spacing w:before="80" w:after="0"/>
              <w:jc w:val="right"/>
            </w:pPr>
            <w:r>
              <w:rPr>
                <w:rFonts w:ascii="Arial" w:hAnsi="Arial"/>
                <w:b/>
                <w:color w:val="464646"/>
                <w:sz w:val="17"/>
              </w:rPr>
              <w:t>2015 – 2016</w:t>
            </w:r>
          </w:p>
        </w:tc>
      </w:tr>
    </w:tbl>
    <w:p>
      <w:pPr>
        <w:keepNext/>
        <w:spacing w:before="20" w:after="40"/>
      </w:pPr>
      <w:r>
        <w:rPr>
          <w:rFonts w:ascii="Arial" w:hAnsi="Arial"/>
          <w:i/>
          <w:color w:val="464646"/>
          <w:sz w:val="16"/>
        </w:rPr>
        <w:t>Oversaw automation architecture, process modernization, and operational excellence for large-scale industrial assets.</w:t>
      </w:r>
    </w:p>
    <w:p>
      <w:pPr>
        <w:pStyle w:val="ListBullet"/>
        <w:spacing w:before="10" w:after="30" w:line="252" w:lineRule="auto"/>
      </w:pPr>
      <w:r>
        <w:rPr>
          <w:rFonts w:ascii="Arial" w:hAnsi="Arial"/>
          <w:b/>
          <w:color w:val="0C2340"/>
          <w:sz w:val="17"/>
        </w:rPr>
        <w:t xml:space="preserve">$1.7B Capital Program Stewardship: </w:t>
      </w:r>
      <w:r>
        <w:rPr>
          <w:rFonts w:ascii="Arial" w:hAnsi="Arial"/>
          <w:color w:val="232323"/>
          <w:sz w:val="17"/>
        </w:rPr>
        <w:t>Guided automation engineering and technology integration across capital modernization programs valued at $1.7 billion, ensuring secure-by-design principles were embedded into new plant commissioning.</w:t>
      </w:r>
    </w:p>
    <w:p>
      <w:pPr>
        <w:pStyle w:val="ListBullet"/>
        <w:spacing w:before="10" w:after="30" w:line="252" w:lineRule="auto"/>
      </w:pPr>
      <w:r>
        <w:rPr>
          <w:rFonts w:ascii="Arial" w:hAnsi="Arial"/>
          <w:b/>
          <w:color w:val="0C2340"/>
          <w:sz w:val="17"/>
        </w:rPr>
        <w:t xml:space="preserve">Lean &amp; Six Sigma Excellence: </w:t>
      </w:r>
      <w:r>
        <w:rPr>
          <w:rFonts w:ascii="Arial" w:hAnsi="Arial"/>
          <w:color w:val="232323"/>
          <w:sz w:val="17"/>
        </w:rPr>
        <w:t>Applied Six Sigma Master Black Belt methodologies to process control systems, driving multimillion-dollar operational cost efficiencies, reducing process variability, and minimizing unplanned downtime.</w:t>
      </w:r>
    </w:p>
    <w:tbl>
      <w:tblPr>
        <w:tblW w:type="auto" w:w="0"/>
        <w:jc w:val="center"/>
        <w:tblLayout w:type="fixed"/>
        <w:tblLook w:firstColumn="1" w:firstRow="1" w:lastColumn="0" w:lastRow="0" w:noHBand="0" w:noVBand="1" w:val="04A0"/>
      </w:tblPr>
      <w:tblGrid>
        <w:gridCol w:w="7344"/>
        <w:gridCol w:w="3312"/>
      </w:tblGrid>
      <w:tr>
        <w:tc>
          <w:tcPr>
            <w:tcW w:type="dxa" w:w="5328"/>
            <w:tcMar>
              <w:top w:w="0" w:type="dxa"/>
              <w:bottom w:w="0" w:type="dxa"/>
              <w:left w:w="0" w:type="dxa"/>
              <w:right w:w="0" w:type="dxa"/>
            </w:tcMar>
          </w:tcPr>
          <w:p>
            <w:pPr>
              <w:keepNext/>
              <w:spacing w:before="80" w:after="0"/>
            </w:pPr>
            <w:r>
              <w:rPr>
                <w:rFonts w:ascii="Arial" w:hAnsi="Arial"/>
                <w:b/>
                <w:color w:val="0C2340"/>
                <w:sz w:val="19"/>
              </w:rPr>
              <w:t>SPARTAN TECHNOLOGY</w:t>
            </w:r>
            <w:r>
              <w:rPr>
                <w:rFonts w:ascii="Arial" w:hAnsi="Arial"/>
                <w:color w:val="464646"/>
                <w:sz w:val="17"/>
              </w:rPr>
              <w:t xml:space="preserve"> | Industrial Technology Consulting</w:t>
              <w:br/>
            </w:r>
            <w:r>
              <w:rPr>
                <w:rFonts w:ascii="Arial" w:hAnsi="Arial"/>
                <w:b/>
                <w:color w:val="005F4B"/>
                <w:sz w:val="18"/>
              </w:rPr>
              <w:t>Founder &amp; Owner</w:t>
            </w:r>
          </w:p>
        </w:tc>
        <w:tc>
          <w:tcPr>
            <w:tcW w:type="dxa" w:w="5328"/>
            <w:tcMar>
              <w:top w:w="0" w:type="dxa"/>
              <w:bottom w:w="0" w:type="dxa"/>
              <w:left w:w="0" w:type="dxa"/>
              <w:right w:w="0" w:type="dxa"/>
            </w:tcMar>
          </w:tcPr>
          <w:p>
            <w:pPr>
              <w:keepNext/>
              <w:spacing w:before="80" w:after="0"/>
              <w:jc w:val="right"/>
            </w:pPr>
            <w:r>
              <w:rPr>
                <w:rFonts w:ascii="Arial" w:hAnsi="Arial"/>
                <w:b/>
                <w:color w:val="464646"/>
                <w:sz w:val="17"/>
              </w:rPr>
              <w:t>2013 – 2015</w:t>
            </w:r>
          </w:p>
        </w:tc>
      </w:tr>
    </w:tbl>
    <w:p>
      <w:pPr>
        <w:keepNext/>
        <w:spacing w:before="20" w:after="40"/>
      </w:pPr>
      <w:r>
        <w:rPr>
          <w:rFonts w:ascii="Arial" w:hAnsi="Arial"/>
          <w:i/>
          <w:color w:val="464646"/>
          <w:sz w:val="16"/>
        </w:rPr>
        <w:t>Built and scaled an elite OT engineering and cybersecurity consulting practice delivering turnkey automation and network security architectures.</w:t>
      </w:r>
    </w:p>
    <w:p>
      <w:pPr>
        <w:pStyle w:val="ListBullet"/>
        <w:spacing w:before="10" w:after="30" w:line="252" w:lineRule="auto"/>
      </w:pPr>
      <w:r>
        <w:rPr>
          <w:rFonts w:ascii="Arial" w:hAnsi="Arial"/>
          <w:b/>
          <w:color w:val="0C2340"/>
          <w:sz w:val="17"/>
        </w:rPr>
        <w:t xml:space="preserve">Commercial Scale &amp; Leadership: </w:t>
      </w:r>
      <w:r>
        <w:rPr>
          <w:rFonts w:ascii="Arial" w:hAnsi="Arial"/>
          <w:color w:val="232323"/>
          <w:sz w:val="17"/>
        </w:rPr>
        <w:t>Scaled consultancy from inception to $1M in net profit within two years, delivering high-stakes automation, SCADA modernization, and cybersecurity hardening for tier-1 industrial clients.</w:t>
      </w:r>
    </w:p>
    <w:p>
      <w:pPr>
        <w:pStyle w:val="ListBullet"/>
        <w:spacing w:before="10" w:after="30" w:line="252" w:lineRule="auto"/>
      </w:pPr>
      <w:r>
        <w:rPr>
          <w:rFonts w:ascii="Arial" w:hAnsi="Arial"/>
          <w:b/>
          <w:color w:val="0C2340"/>
          <w:sz w:val="17"/>
        </w:rPr>
        <w:t xml:space="preserve">Turnkey OT Deployments: </w:t>
      </w:r>
      <w:r>
        <w:rPr>
          <w:rFonts w:ascii="Arial" w:hAnsi="Arial"/>
          <w:color w:val="232323"/>
          <w:sz w:val="17"/>
        </w:rPr>
        <w:t>Led multidisciplinary engineering teams in deploying hardened PLC/DCS architectures, secure wireless sensor networks, and Purdue Level 2/3 network segmentation.</w:t>
      </w:r>
    </w:p>
    <w:tbl>
      <w:tblPr>
        <w:tblW w:type="auto" w:w="0"/>
        <w:jc w:val="center"/>
        <w:tblLayout w:type="fixed"/>
        <w:tblLook w:firstColumn="1" w:firstRow="1" w:lastColumn="0" w:lastRow="0" w:noHBand="0" w:noVBand="1" w:val="04A0"/>
      </w:tblPr>
      <w:tblGrid>
        <w:gridCol w:w="7344"/>
        <w:gridCol w:w="3312"/>
      </w:tblGrid>
      <w:tr>
        <w:tc>
          <w:tcPr>
            <w:tcW w:type="dxa" w:w="5328"/>
            <w:tcMar>
              <w:top w:w="0" w:type="dxa"/>
              <w:bottom w:w="0" w:type="dxa"/>
              <w:left w:w="0" w:type="dxa"/>
              <w:right w:w="0" w:type="dxa"/>
            </w:tcMar>
          </w:tcPr>
          <w:p>
            <w:pPr>
              <w:keepNext/>
              <w:spacing w:before="80" w:after="0"/>
            </w:pPr>
            <w:r>
              <w:rPr>
                <w:rFonts w:ascii="Arial" w:hAnsi="Arial"/>
                <w:b/>
                <w:color w:val="0C2340"/>
                <w:sz w:val="19"/>
              </w:rPr>
              <w:t>EXELON (NUCLEAR DIVISION)</w:t>
            </w:r>
            <w:r>
              <w:rPr>
                <w:rFonts w:ascii="Arial" w:hAnsi="Arial"/>
                <w:color w:val="464646"/>
                <w:sz w:val="17"/>
              </w:rPr>
              <w:t xml:space="preserve"> | Power Generation &amp; High-Reliability Operations</w:t>
              <w:br/>
            </w:r>
            <w:r>
              <w:rPr>
                <w:rFonts w:ascii="Arial" w:hAnsi="Arial"/>
                <w:b/>
                <w:color w:val="005F4B"/>
                <w:sz w:val="18"/>
              </w:rPr>
              <w:t>Senior Cyber Engineer / Instrumentation &amp; Control (I&amp;C) Engineer 3</w:t>
            </w:r>
          </w:p>
        </w:tc>
        <w:tc>
          <w:tcPr>
            <w:tcW w:type="dxa" w:w="5328"/>
            <w:tcMar>
              <w:top w:w="0" w:type="dxa"/>
              <w:bottom w:w="0" w:type="dxa"/>
              <w:left w:w="0" w:type="dxa"/>
              <w:right w:w="0" w:type="dxa"/>
            </w:tcMar>
          </w:tcPr>
          <w:p>
            <w:pPr>
              <w:keepNext/>
              <w:spacing w:before="80" w:after="0"/>
              <w:jc w:val="right"/>
            </w:pPr>
            <w:r>
              <w:rPr>
                <w:rFonts w:ascii="Arial" w:hAnsi="Arial"/>
                <w:b/>
                <w:color w:val="464646"/>
                <w:sz w:val="17"/>
              </w:rPr>
              <w:t>2009 – 2013</w:t>
            </w:r>
          </w:p>
        </w:tc>
      </w:tr>
    </w:tbl>
    <w:p>
      <w:pPr>
        <w:keepNext/>
        <w:spacing w:before="20" w:after="40"/>
      </w:pPr>
      <w:r>
        <w:rPr>
          <w:rFonts w:ascii="Arial" w:hAnsi="Arial"/>
          <w:i/>
          <w:color w:val="464646"/>
          <w:sz w:val="16"/>
        </w:rPr>
        <w:t>Led digital instrumentation &amp; control (I&amp;C) engineering and cybersecurity compliance across nuclear power generation facilities.</w:t>
      </w:r>
    </w:p>
    <w:p>
      <w:pPr>
        <w:pStyle w:val="ListBullet"/>
        <w:spacing w:before="10" w:after="30" w:line="252" w:lineRule="auto"/>
      </w:pPr>
      <w:r>
        <w:rPr>
          <w:rFonts w:ascii="Arial" w:hAnsi="Arial"/>
          <w:b/>
          <w:color w:val="0C2340"/>
          <w:sz w:val="17"/>
        </w:rPr>
        <w:t xml:space="preserve">High-Reliability Compliance &amp; Hardening: </w:t>
      </w:r>
      <w:r>
        <w:rPr>
          <w:rFonts w:ascii="Arial" w:hAnsi="Arial"/>
          <w:color w:val="232323"/>
          <w:sz w:val="17"/>
        </w:rPr>
        <w:t>Enforced stringent cybersecurity architectures under NRC 10 CFR 73.54 across safety-critical nuclear digital control networks, establishing uncompromising zero-fail engineering disciplines.</w:t>
      </w:r>
    </w:p>
    <w:p>
      <w:pPr>
        <w:pStyle w:val="ListBullet"/>
        <w:spacing w:before="10" w:after="30" w:line="252" w:lineRule="auto"/>
      </w:pPr>
      <w:r>
        <w:rPr>
          <w:rFonts w:ascii="Arial" w:hAnsi="Arial"/>
          <w:b/>
          <w:color w:val="0C2340"/>
          <w:sz w:val="17"/>
        </w:rPr>
        <w:t xml:space="preserve">Digital Systems Engineering: </w:t>
      </w:r>
      <w:r>
        <w:rPr>
          <w:rFonts w:ascii="Arial" w:hAnsi="Arial"/>
          <w:color w:val="232323"/>
          <w:sz w:val="17"/>
        </w:rPr>
        <w:t>Designed and validated secure digital control loops, protective relay systems, and supervisory interfaces, authoring engineering protocols adopted as industry-wide best practices.</w:t>
      </w:r>
    </w:p>
    <w:tbl>
      <w:tblPr>
        <w:tblW w:type="auto" w:w="0"/>
        <w:jc w:val="center"/>
        <w:tblLayout w:type="fixed"/>
        <w:tblLook w:firstColumn="1" w:firstRow="1" w:lastColumn="0" w:lastRow="0" w:noHBand="0" w:noVBand="1" w:val="04A0"/>
      </w:tblPr>
      <w:tblGrid>
        <w:gridCol w:w="7344"/>
        <w:gridCol w:w="3312"/>
      </w:tblGrid>
      <w:tr>
        <w:tc>
          <w:tcPr>
            <w:tcW w:type="dxa" w:w="5328"/>
            <w:tcMar>
              <w:top w:w="0" w:type="dxa"/>
              <w:bottom w:w="0" w:type="dxa"/>
              <w:left w:w="0" w:type="dxa"/>
              <w:right w:w="0" w:type="dxa"/>
            </w:tcMar>
          </w:tcPr>
          <w:p>
            <w:pPr>
              <w:keepNext/>
              <w:spacing w:before="80" w:after="0"/>
            </w:pPr>
            <w:r>
              <w:rPr>
                <w:rFonts w:ascii="Arial" w:hAnsi="Arial"/>
                <w:b/>
                <w:color w:val="0C2340"/>
                <w:sz w:val="19"/>
              </w:rPr>
              <w:t>TAI ENGINEERING</w:t>
            </w:r>
            <w:r>
              <w:rPr>
                <w:rFonts w:ascii="Arial" w:hAnsi="Arial"/>
                <w:color w:val="464646"/>
                <w:sz w:val="17"/>
              </w:rPr>
              <w:t xml:space="preserve"> | Industrial Engineering Services</w:t>
              <w:br/>
            </w:r>
            <w:r>
              <w:rPr>
                <w:rFonts w:ascii="Arial" w:hAnsi="Arial"/>
                <w:b/>
                <w:color w:val="005F4B"/>
                <w:sz w:val="18"/>
              </w:rPr>
              <w:t>Instrumentation &amp; Controls (I&amp;C) Division Manager</w:t>
            </w:r>
          </w:p>
        </w:tc>
        <w:tc>
          <w:tcPr>
            <w:tcW w:type="dxa" w:w="5328"/>
            <w:tcMar>
              <w:top w:w="0" w:type="dxa"/>
              <w:bottom w:w="0" w:type="dxa"/>
              <w:left w:w="0" w:type="dxa"/>
              <w:right w:w="0" w:type="dxa"/>
            </w:tcMar>
          </w:tcPr>
          <w:p>
            <w:pPr>
              <w:keepNext/>
              <w:spacing w:before="80" w:after="0"/>
              <w:jc w:val="right"/>
            </w:pPr>
            <w:r>
              <w:rPr>
                <w:rFonts w:ascii="Arial" w:hAnsi="Arial"/>
                <w:b/>
                <w:color w:val="464646"/>
                <w:sz w:val="17"/>
              </w:rPr>
              <w:t>2006 – 2009</w:t>
            </w:r>
          </w:p>
        </w:tc>
      </w:tr>
    </w:tbl>
    <w:p>
      <w:pPr>
        <w:keepNext/>
        <w:spacing w:before="20" w:after="40"/>
      </w:pPr>
      <w:r>
        <w:rPr>
          <w:rFonts w:ascii="Arial" w:hAnsi="Arial"/>
          <w:i/>
          <w:color w:val="464646"/>
          <w:sz w:val="16"/>
        </w:rPr>
        <w:t>Led 15+ systems engineers delivering complex automation, validation, and control system integration for regulated life sciences clients.</w:t>
      </w:r>
    </w:p>
    <w:p>
      <w:pPr>
        <w:pStyle w:val="ListBullet"/>
        <w:spacing w:before="10" w:after="30" w:line="252" w:lineRule="auto"/>
      </w:pPr>
      <w:r>
        <w:rPr>
          <w:rFonts w:ascii="Arial" w:hAnsi="Arial"/>
          <w:b/>
          <w:color w:val="0C2340"/>
          <w:sz w:val="17"/>
        </w:rPr>
        <w:t xml:space="preserve">Division Leadership &amp; P&amp;L: </w:t>
      </w:r>
      <w:r>
        <w:rPr>
          <w:rFonts w:ascii="Arial" w:hAnsi="Arial"/>
          <w:color w:val="232323"/>
          <w:sz w:val="17"/>
        </w:rPr>
        <w:t>Managed division P&amp;L, project staffing, and client delivery; achieved 100% compliance with FDA cGMP / 21 CFR Part 11 electronic records and data integrity standards.</w:t>
      </w:r>
    </w:p>
    <w:p>
      <w:pPr>
        <w:keepNext/>
        <w:spacing w:before="80" w:after="40"/>
      </w:pPr>
      <w:r>
        <w:rPr>
          <w:rFonts w:ascii="Arial" w:hAnsi="Arial"/>
          <w:b/>
          <w:color w:val="0C2340"/>
          <w:sz w:val="17"/>
        </w:rPr>
        <w:t>FOUNDATIONAL EXPERIENCE &amp; MILITARY SERVICE</w:t>
      </w:r>
    </w:p>
    <w:p>
      <w:pPr>
        <w:pStyle w:val="ListBullet"/>
        <w:spacing w:before="10" w:after="30" w:line="252" w:lineRule="auto"/>
      </w:pPr>
      <w:r>
        <w:rPr>
          <w:rFonts w:ascii="Arial" w:hAnsi="Arial"/>
          <w:color w:val="232323"/>
          <w:sz w:val="17"/>
        </w:rPr>
        <w:t>DynCorp International — Presidential Fleet (Air Force Two): Aircraft Systems Specialist, 89th Airlift Wing (1999 – 2001). Maintained Special Air Missions aircraft under strict zero-defect flight safety and operational security protocols.</w:t>
      </w:r>
    </w:p>
    <w:p>
      <w:pPr>
        <w:pStyle w:val="ListBullet"/>
        <w:spacing w:before="10" w:after="30" w:line="252" w:lineRule="auto"/>
      </w:pPr>
      <w:r>
        <w:rPr>
          <w:rFonts w:ascii="Arial" w:hAnsi="Arial"/>
          <w:color w:val="232323"/>
          <w:sz w:val="17"/>
        </w:rPr>
        <w:t>United States Air Force (USAF) — Air Force Special Operations Command (AFSOC): Aircraft Systems Specialist (1995 – 1999). Two expeditionary deployments; maintained mission-critical systems under austere operational conditions.</w:t>
      </w:r>
    </w:p>
    <w:p>
      <w:pPr>
        <w:keepNext/>
        <w:spacing w:before="120" w:after="40"/>
        <w:pBdr>
          <w:bottom w:val="single" w:sz="6" w:space="2" w:color="0C2340"/>
        </w:pBdr>
      </w:pPr>
      <w:r>
        <w:rPr>
          <w:rFonts w:ascii="Arial" w:hAnsi="Arial"/>
          <w:b/>
          <w:color w:val="0C2340"/>
          <w:sz w:val="20"/>
        </w:rPr>
        <w:t>EDUCATION</w:t>
      </w:r>
    </w:p>
    <w:p>
      <w:pPr>
        <w:spacing w:before="30" w:after="20"/>
      </w:pPr>
      <w:r>
        <w:rPr>
          <w:rFonts w:ascii="Arial" w:hAnsi="Arial"/>
          <w:b/>
          <w:color w:val="0C2340"/>
          <w:sz w:val="17"/>
        </w:rPr>
        <w:t>Master of Science (M.S.) in Systems Engineering</w:t>
      </w:r>
      <w:r>
        <w:rPr>
          <w:rFonts w:ascii="Arial" w:hAnsi="Arial"/>
          <w:color w:val="232323"/>
          <w:sz w:val="17"/>
        </w:rPr>
        <w:t xml:space="preserve"> — Whiting School of Engineering, Johns Hopkins University (Baltimore, MD)</w:t>
      </w:r>
    </w:p>
    <w:p>
      <w:pPr>
        <w:spacing w:before="20" w:after="40"/>
      </w:pPr>
      <w:r>
        <w:rPr>
          <w:rFonts w:ascii="Arial" w:hAnsi="Arial"/>
          <w:b/>
          <w:color w:val="0C2340"/>
          <w:sz w:val="17"/>
        </w:rPr>
        <w:t>Bachelor of Science (B.S.) in Information Systems Science</w:t>
      </w:r>
      <w:r>
        <w:rPr>
          <w:rFonts w:ascii="Arial" w:hAnsi="Arial"/>
          <w:color w:val="232323"/>
          <w:sz w:val="17"/>
        </w:rPr>
        <w:t xml:space="preserve"> — University of Maryland (College Park, MD)</w:t>
      </w:r>
    </w:p>
    <w:p>
      <w:pPr>
        <w:keepNext/>
        <w:spacing w:before="120" w:after="40"/>
        <w:pBdr>
          <w:bottom w:val="single" w:sz="6" w:space="2" w:color="0C2340"/>
        </w:pBdr>
      </w:pPr>
      <w:r>
        <w:rPr>
          <w:rFonts w:ascii="Arial" w:hAnsi="Arial"/>
          <w:b/>
          <w:color w:val="0C2340"/>
          <w:sz w:val="20"/>
        </w:rPr>
        <w:t>EXECUTIVE CERTIFICATIONS &amp; PROFESSIONAL AFFILIATIONS</w:t>
      </w:r>
    </w:p>
    <w:p>
      <w:pPr>
        <w:pStyle w:val="ListBullet"/>
        <w:spacing w:before="10" w:after="30" w:line="252" w:lineRule="auto"/>
      </w:pPr>
      <w:r>
        <w:rPr>
          <w:rFonts w:ascii="Arial" w:hAnsi="Arial"/>
          <w:b/>
          <w:color w:val="0C2340"/>
          <w:sz w:val="17"/>
        </w:rPr>
        <w:t xml:space="preserve">Certifications: </w:t>
      </w:r>
      <w:r>
        <w:rPr>
          <w:rFonts w:ascii="Arial" w:hAnsi="Arial"/>
          <w:color w:val="232323"/>
          <w:sz w:val="17"/>
        </w:rPr>
        <w:t>Certified Automation Professional (CAP), International Society of Automation (ISA) • TÜV Certified Functional Safety Engineer (TÜV Rheinland / IEC 61508) • Six Sigma Master Black Belt (SSMBB - Lean &amp; Process Quality) • Certified Digital Systems &amp; Nuclear Cybersecurity Engineer (NANTEL / NEI) • FAA Airframe &amp; Powerplant (A&amp;P) License</w:t>
      </w:r>
    </w:p>
    <w:p>
      <w:pPr>
        <w:pStyle w:val="ListBullet"/>
        <w:spacing w:before="10" w:after="30" w:line="252" w:lineRule="auto"/>
      </w:pPr>
      <w:r>
        <w:rPr>
          <w:rFonts w:ascii="Arial" w:hAnsi="Arial"/>
          <w:b/>
          <w:color w:val="0C2340"/>
          <w:sz w:val="17"/>
        </w:rPr>
        <w:t xml:space="preserve">Standards Bodies: </w:t>
      </w:r>
      <w:r>
        <w:rPr>
          <w:rFonts w:ascii="Arial" w:hAnsi="Arial"/>
          <w:color w:val="232323"/>
          <w:sz w:val="17"/>
        </w:rPr>
        <w:t>Contributing Co-Author, NIST SP 800-82 Rev 3 (Guide to Operational Technology Security) • Voting Committee Member, ANSI/ISA 99 &amp; IEC 62443 (Industrial Automation &amp; Control Systems Security) • Voting Committee Member, ANSI/ISA 84 (Safety Instrumented Systems / SIS)</w:t>
      </w:r>
    </w:p>
    <w:p>
      <w:pPr>
        <w:pStyle w:val="ListBullet"/>
        <w:spacing w:before="10" w:after="30" w:line="252" w:lineRule="auto"/>
      </w:pPr>
      <w:r>
        <w:rPr>
          <w:rFonts w:ascii="Arial" w:hAnsi="Arial"/>
          <w:b/>
          <w:color w:val="0C2340"/>
          <w:sz w:val="17"/>
        </w:rPr>
        <w:t xml:space="preserve">Languages: </w:t>
      </w:r>
      <w:r>
        <w:rPr>
          <w:rFonts w:ascii="Arial" w:hAnsi="Arial"/>
          <w:color w:val="232323"/>
          <w:sz w:val="17"/>
        </w:rPr>
        <w:t>English (Native) • Japanese (Intermediate Mid, ACTFL Scale)</w:t>
      </w:r>
    </w:p>
    <w:sectPr w:rsidR="00FC693F" w:rsidRPr="0006063C" w:rsidSect="00034616">
      <w:pgSz w:w="12240" w:h="15840"/>
      <w:pgMar w:top="691" w:right="792" w:bottom="691"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