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Event-Driven Automation</w:t>
      </w:r>
    </w:p>
    <w:p>
      <w:r>
        <w:t>NOVYRA OS — Stage 10: Automation</w:t>
      </w:r>
    </w:p>
    <w:p>
      <w:pPr>
        <w:pStyle w:val="Heading1"/>
      </w:pPr>
      <w:r>
        <w:t>1. Event-Driven Concept</w:t>
      </w:r>
    </w:p>
    <w:p>
      <w:r>
        <w:t>In an event-driven system, a change in the system or environment causes a workflow to start.</w:t>
      </w:r>
    </w:p>
    <w:p>
      <w:pPr>
        <w:pStyle w:val="Heading1"/>
      </w:pPr>
      <w:r>
        <w:t>2. NOVYRA OS Example</w:t>
      </w:r>
    </w:p>
    <w:p>
      <w:r>
        <w:t>If a new opportunity score exceeds a threshold, the system can create a review task, log the event, and notify the user.</w:t>
      </w:r>
    </w:p>
    <w:p>
      <w:pPr>
        <w:pStyle w:val="Heading1"/>
      </w:pPr>
      <w:r>
        <w:t>3. Benefits</w:t>
      </w:r>
    </w:p>
    <w:p>
      <w:pPr>
        <w:pStyle w:val="ListBullet"/>
      </w:pPr>
      <w:r>
        <w:t>Faster response to meaningful changes.</w:t>
      </w:r>
    </w:p>
    <w:p>
      <w:pPr>
        <w:pStyle w:val="ListBullet"/>
      </w:pPr>
      <w:r>
        <w:t>Less unnecessary polling.</w:t>
      </w:r>
    </w:p>
    <w:p>
      <w:pPr>
        <w:pStyle w:val="ListBullet"/>
      </w:pPr>
      <w:r>
        <w:t>Cleaner separation of responsibilities.</w:t>
      </w:r>
    </w:p>
    <w:p>
      <w:pPr>
        <w:pStyle w:val="Heading1"/>
      </w:pPr>
      <w:r>
        <w:t>4. Practical Exercise</w:t>
      </w:r>
    </w:p>
    <w:p>
      <w:r>
        <w:t>Design an event-driven workflow for a high-priority opportunity and identify what event starts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