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Conditional Branching and Rules</w:t>
      </w:r>
    </w:p>
    <w:p>
      <w:r>
        <w:t>NOVYRA OS — Stage 10: Automation</w:t>
      </w:r>
    </w:p>
    <w:p>
      <w:pPr>
        <w:pStyle w:val="Heading1"/>
      </w:pPr>
      <w:r>
        <w:t>1. Branching</w:t>
      </w:r>
    </w:p>
    <w:p>
      <w:r>
        <w:t>A workflow can choose different paths depending on rules and conditions.</w:t>
      </w:r>
    </w:p>
    <w:p>
      <w:pPr>
        <w:pStyle w:val="Heading1"/>
      </w:pPr>
      <w:r>
        <w:t>2. NOVYRA OS Example</w:t>
      </w:r>
    </w:p>
    <w:p>
      <w:r>
        <w:t>If score is high and risk is low:</w:t>
        <w:br/>
        <w:t xml:space="preserve">    notify immediately</w:t>
      </w:r>
    </w:p>
    <w:p>
      <w:r>
        <w:t>If score is high but uncertainty is high:</w:t>
        <w:br/>
        <w:t xml:space="preserve">    request human review</w:t>
      </w:r>
    </w:p>
    <w:p>
      <w:r>
        <w:t>If score is low:</w:t>
        <w:br/>
        <w:t xml:space="preserve">    store and monitor</w:t>
      </w:r>
    </w:p>
    <w:p>
      <w:pPr>
        <w:pStyle w:val="Heading1"/>
      </w:pPr>
      <w:r>
        <w:t>3. Rule Maintenance</w:t>
      </w:r>
    </w:p>
    <w:p>
      <w:r>
        <w:t>Rules should be documented and versioned so that future changes are understandable.</w:t>
      </w:r>
    </w:p>
    <w:p>
      <w:pPr>
        <w:pStyle w:val="Heading1"/>
      </w:pPr>
      <w:r>
        <w:t>4. Practical Exercise</w:t>
      </w:r>
    </w:p>
    <w:p>
      <w:r>
        <w:t>Design a branching policy for three opportunity categories and explain what happens in each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