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11 — Completion Record</w:t>
      </w:r>
    </w:p>
    <w:p>
      <w:r>
        <w:t>NOVYRA OS — Stage 11: Security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Core Outcome</w:t>
      </w:r>
    </w:p>
    <w:p>
      <w:r>
        <w:t>Stage 11 establishes the security foundation for NOVYRA OS. The system now has a documented approach to protecting identities, credentials, data, AI, automation, logs, APIs, and databases.</w:t>
      </w:r>
    </w:p>
    <w:p>
      <w:pPr>
        <w:pStyle w:val="Heading1"/>
      </w:pPr>
      <w:r>
        <w:t>Architectural Principle</w:t>
      </w:r>
    </w:p>
    <w:p>
      <w:r>
        <w:t>Security is not one feature. It is a set of controls that must exist throughout the architecture.</w:t>
      </w:r>
    </w:p>
    <w:p>
      <w:pPr>
        <w:pStyle w:val="Heading1"/>
      </w:pPr>
      <w:r>
        <w:t>Next Stage</w:t>
      </w:r>
    </w:p>
    <w:p>
      <w:r>
        <w:t>Stage 12 —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