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Environment Strategy</w:t>
      </w:r>
    </w:p>
    <w:p>
      <w:r>
        <w:t>NOVYRA OS — Stage 12: Deployment</w:t>
      </w:r>
    </w:p>
    <w:p>
      <w:pPr>
        <w:pStyle w:val="Heading1"/>
      </w:pPr>
      <w:r>
        <w:t>1. Why Environments Matter</w:t>
      </w:r>
    </w:p>
    <w:p>
      <w:r>
        <w:t>Different environments exist because different stages of a system have different risk levels and operational requirements.</w:t>
      </w:r>
    </w:p>
    <w:p>
      <w:pPr>
        <w:pStyle w:val="Heading1"/>
      </w:pPr>
      <w:r>
        <w:t>2. Typical Environments</w:t>
      </w:r>
    </w:p>
    <w:p>
      <w:pPr>
        <w:pStyle w:val="ListBullet"/>
      </w:pPr>
      <w:r>
        <w:t>Development.</w:t>
      </w:r>
    </w:p>
    <w:p>
      <w:pPr>
        <w:pStyle w:val="ListBullet"/>
      </w:pPr>
      <w:r>
        <w:t>Testing.</w:t>
      </w:r>
    </w:p>
    <w:p>
      <w:pPr>
        <w:pStyle w:val="ListBullet"/>
      </w:pPr>
      <w:r>
        <w:t>Staging.</w:t>
      </w:r>
    </w:p>
    <w:p>
      <w:pPr>
        <w:pStyle w:val="ListBullet"/>
      </w:pPr>
      <w:r>
        <w:t>Production.</w:t>
      </w:r>
    </w:p>
    <w:p>
      <w:pPr>
        <w:pStyle w:val="Heading1"/>
      </w:pPr>
      <w:r>
        <w:t>3. Environment Separation</w:t>
      </w:r>
    </w:p>
    <w:p>
      <w:r>
        <w:t>NOVYRA OS should not mix development data and production data. The same applies to credentials, endpoints, feature flags, and logging levels.</w:t>
      </w:r>
    </w:p>
    <w:p>
      <w:pPr>
        <w:pStyle w:val="Heading1"/>
      </w:pPr>
      <w:r>
        <w:t>4. Practical Exercise</w:t>
      </w:r>
    </w:p>
    <w:p>
      <w:r>
        <w:t>Create a table showing what should be different between development, staging, and production for NOVYRA 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