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Migrations and Schema Versioning</w:t>
      </w:r>
    </w:p>
    <w:p>
      <w:r>
        <w:t>NOVYRA OS — Stage 5: Database and SQL</w:t>
      </w:r>
    </w:p>
    <w:p>
      <w:pPr>
        <w:pStyle w:val="Heading1"/>
      </w:pPr>
      <w:r>
        <w:t>1. Why Migrations?</w:t>
      </w:r>
    </w:p>
    <w:p>
      <w:r>
        <w:t>A database schema changes over time.</w:t>
      </w:r>
    </w:p>
    <w:p>
      <w:r>
        <w:t>Migrations provide a controlled history of those changes.</w:t>
      </w:r>
    </w:p>
    <w:p>
      <w:pPr>
        <w:pStyle w:val="Heading1"/>
      </w:pPr>
      <w:r>
        <w:t>2. Migration Example</w:t>
      </w:r>
    </w:p>
    <w:p>
      <w:r>
        <w:t>Initial schema.</w:t>
      </w:r>
    </w:p>
    <w:p>
      <w:r>
        <w:t>Add opportunity status.</w:t>
      </w:r>
    </w:p>
    <w:p>
      <w:r>
        <w:t>Add scoring table.</w:t>
      </w:r>
    </w:p>
    <w:p>
      <w:r>
        <w:t>Add audit table.</w:t>
      </w:r>
    </w:p>
    <w:p>
      <w:r>
        <w:t>Add new index.</w:t>
      </w:r>
    </w:p>
    <w:p>
      <w:r>
        <w:t>Each change can be represented as a migration.</w:t>
      </w:r>
    </w:p>
    <w:p>
      <w:pPr>
        <w:pStyle w:val="Heading1"/>
      </w:pPr>
      <w:r>
        <w:t>3. Why Manual Changes Are Dangerous</w:t>
      </w:r>
    </w:p>
    <w:p>
      <w:r>
        <w:t>If a developer changes the database manually without recording the change, another environment may not match the developer's environment.</w:t>
      </w:r>
    </w:p>
    <w:p>
      <w:pPr>
        <w:pStyle w:val="Heading1"/>
      </w:pPr>
      <w:r>
        <w:t>4. Environment Consistency</w:t>
      </w:r>
    </w:p>
    <w:p>
      <w:r>
        <w:t>Development, testing, and production databases should be reproducible through controlled schema changes.</w:t>
      </w:r>
    </w:p>
    <w:p>
      <w:pPr>
        <w:pStyle w:val="Heading1"/>
      </w:pPr>
      <w:r>
        <w:t>5. Migration Principles</w:t>
      </w:r>
    </w:p>
    <w:p>
      <w:pPr>
        <w:pStyle w:val="ListBullet"/>
      </w:pPr>
      <w:r>
        <w:t>Make migrations small and understandable.</w:t>
      </w:r>
    </w:p>
    <w:p>
      <w:pPr>
        <w:pStyle w:val="ListBullet"/>
      </w:pPr>
      <w:r>
        <w:t>Test migrations before applying them to important environments.</w:t>
      </w:r>
    </w:p>
    <w:p>
      <w:pPr>
        <w:pStyle w:val="ListBullet"/>
      </w:pPr>
      <w:r>
        <w:t>Keep migrations in version control.</w:t>
      </w:r>
    </w:p>
    <w:p>
      <w:pPr>
        <w:pStyle w:val="ListBullet"/>
      </w:pPr>
      <w:r>
        <w:t>Do not edit old migrations casually after they have been applied to shared environments.</w:t>
      </w:r>
    </w:p>
    <w:p>
      <w:pPr>
        <w:pStyle w:val="ListBullet"/>
      </w:pPr>
      <w:r>
        <w:t>Plan destructive schema changes carefully.</w:t>
      </w:r>
    </w:p>
    <w:p>
      <w:pPr>
        <w:pStyle w:val="Heading1"/>
      </w:pPr>
      <w:r>
        <w:t>6. NOVYRA OS Direction</w:t>
      </w:r>
    </w:p>
    <w:p>
      <w:r>
        <w:t>When the application framework and database technology are selected, we will choose the appropriate migration system.</w:t>
      </w:r>
    </w:p>
    <w:p>
      <w:r>
        <w:t>The exact tooling will depend on the architecture adopted.</w:t>
      </w:r>
    </w:p>
    <w:p>
      <w:pPr>
        <w:pStyle w:val="Heading1"/>
      </w:pPr>
      <w:r>
        <w:t>7. Practical Exercise</w:t>
      </w:r>
    </w:p>
    <w:p>
      <w:r>
        <w:t>Create a conceptual migration history for the initial NOVYRA OS database.</w:t>
      </w:r>
    </w:p>
    <w:p>
      <w:r>
        <w:t>Document what would happen when a new table or column is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