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Client Architecture for NOVYRA OS</w:t>
      </w:r>
    </w:p>
    <w:p>
      <w:r>
        <w:t>NOVYRA OS — Stage 6: APIs</w:t>
      </w:r>
    </w:p>
    <w:p>
      <w:pPr>
        <w:pStyle w:val="Heading1"/>
      </w:pPr>
      <w:r>
        <w:t>1. Goal</w:t>
      </w:r>
    </w:p>
    <w:p>
      <w:r>
        <w:t>The API layer should be modular.</w:t>
      </w:r>
    </w:p>
    <w:p>
      <w:r>
        <w:t>Adding a new data source should not require rewriting the entire system.</w:t>
      </w:r>
    </w:p>
    <w:p>
      <w:pPr>
        <w:pStyle w:val="Heading1"/>
      </w:pPr>
      <w:r>
        <w:t>2. Suggested Layers</w:t>
      </w:r>
    </w:p>
    <w:p>
      <w:r>
        <w:t>Configuration Layer.</w:t>
      </w:r>
    </w:p>
    <w:p>
      <w:r>
        <w:t>Authentication Layer.</w:t>
      </w:r>
    </w:p>
    <w:p>
      <w:r>
        <w:t>HTTP Transport Layer.</w:t>
      </w:r>
    </w:p>
    <w:p>
      <w:r>
        <w:t>Provider Client.</w:t>
      </w:r>
    </w:p>
    <w:p>
      <w:r>
        <w:t>Response Validation.</w:t>
      </w:r>
    </w:p>
    <w:p>
      <w:r>
        <w:t>Normalisation.</w:t>
      </w:r>
    </w:p>
    <w:p>
      <w:r>
        <w:t>Persistence.</w:t>
      </w:r>
    </w:p>
    <w:p>
      <w:r>
        <w:t>Processing.</w:t>
      </w:r>
    </w:p>
    <w:p>
      <w:r>
        <w:t>Scoring.</w:t>
      </w:r>
    </w:p>
    <w:p>
      <w:r>
        <w:t>Monitoring.</w:t>
      </w:r>
    </w:p>
    <w:p>
      <w:pPr>
        <w:pStyle w:val="Heading1"/>
      </w:pPr>
      <w:r>
        <w:t>3. Provider Adapter</w:t>
      </w:r>
    </w:p>
    <w:p>
      <w:r>
        <w:t>Each external API can have a dedicated adapter that understands provider-specific endpoints and response structures.</w:t>
      </w:r>
    </w:p>
    <w:p>
      <w:pPr>
        <w:pStyle w:val="Heading1"/>
      </w:pPr>
      <w:r>
        <w:t>4. Normalised Internal Model</w:t>
      </w:r>
    </w:p>
    <w:p>
      <w:r>
        <w:t>Different providers may represent similar concepts differently.</w:t>
      </w:r>
    </w:p>
    <w:p>
      <w:r>
        <w:t>The adapter should convert provider-specific data into a consistent internal representation.</w:t>
      </w:r>
    </w:p>
    <w:p>
      <w:pPr>
        <w:pStyle w:val="Heading1"/>
      </w:pPr>
      <w:r>
        <w:t>5. Example</w:t>
      </w:r>
    </w:p>
    <w:p>
      <w:r>
        <w:t>Provider A may call a field 'title'.</w:t>
      </w:r>
    </w:p>
    <w:p>
      <w:r>
        <w:t>Provider B may call it 'position_name'.</w:t>
      </w:r>
    </w:p>
    <w:p>
      <w:r>
        <w:t>NOVYRA OS should map both to an internal concept such as opportunity title.</w:t>
      </w:r>
    </w:p>
    <w:p>
      <w:pPr>
        <w:pStyle w:val="Heading1"/>
      </w:pPr>
      <w:r>
        <w:t>6. Fault Isolation</w:t>
      </w:r>
    </w:p>
    <w:p>
      <w:r>
        <w:t>If one provider fails, the rest of the system should continue operating where possible.</w:t>
      </w:r>
    </w:p>
    <w:p>
      <w:pPr>
        <w:pStyle w:val="Heading1"/>
      </w:pPr>
      <w:r>
        <w:t>7. Practical Exercise</w:t>
      </w:r>
    </w:p>
    <w:p>
      <w:r>
        <w:t>Design a conceptual Python package structure for API integrations.</w:t>
      </w:r>
    </w:p>
    <w:p>
      <w:r>
        <w:t>Identify where you would place:</w:t>
      </w:r>
    </w:p>
    <w:p>
      <w:r>
        <w:t>Base client.</w:t>
        <w:br/>
        <w:t>Provider clients.</w:t>
        <w:br/>
        <w:t>Models.</w:t>
        <w:br/>
        <w:t>Validation.</w:t>
        <w:br/>
        <w:t>Exceptions.</w:t>
        <w:br/>
        <w:t>Configuration.</w:t>
        <w:br/>
        <w:t>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