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Categorical Data and Canonical Values</w:t>
      </w:r>
    </w:p>
    <w:p>
      <w:r>
        <w:t>NOVYRA OS — Stage 7: Data Processing</w:t>
      </w:r>
    </w:p>
    <w:p>
      <w:pPr>
        <w:pStyle w:val="Heading1"/>
      </w:pPr>
      <w:r>
        <w:t>1. Categories</w:t>
      </w:r>
    </w:p>
    <w:p>
      <w:r>
        <w:t>Categorical data represents a finite or semi-finite set of labels.</w:t>
      </w:r>
    </w:p>
    <w:p>
      <w:pPr>
        <w:pStyle w:val="Heading1"/>
      </w:pPr>
      <w:r>
        <w:t>2. Canonical Values</w:t>
      </w:r>
    </w:p>
    <w:p>
      <w:r>
        <w:t>A canonical value is the standard internal representation used by NOVYRA OS.</w:t>
      </w:r>
    </w:p>
    <w:p>
      <w:pPr>
        <w:pStyle w:val="Heading1"/>
      </w:pPr>
      <w:r>
        <w:t>3. Mapping Tables</w:t>
      </w:r>
    </w:p>
    <w:p>
      <w:r>
        <w:t>Instead of scattering transformation logic throughout code, mapping tables can define how external values map to internal values.</w:t>
      </w:r>
    </w:p>
    <w:p>
      <w:pPr>
        <w:pStyle w:val="Heading1"/>
      </w:pPr>
      <w:r>
        <w:t>4. Unknown Categories</w:t>
      </w:r>
    </w:p>
    <w:p>
      <w:r>
        <w:t>A new category should not automatically be discarded.</w:t>
      </w:r>
    </w:p>
    <w:p>
      <w:r>
        <w:t>It should be flagged for review or handled through an explicit fallback strategy.</w:t>
      </w:r>
    </w:p>
    <w:p>
      <w:pPr>
        <w:pStyle w:val="Heading1"/>
      </w:pPr>
      <w:r>
        <w:t>5. Practical Exercise</w:t>
      </w:r>
    </w:p>
    <w:p>
      <w:r>
        <w:t>Create canonical mappings for employment type, opportunity status, and location region.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