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Deduplication and Entity Resolution</w:t>
      </w:r>
    </w:p>
    <w:p>
      <w:r>
        <w:t>NOVYRA OS — Stage 7: Data Processing</w:t>
      </w:r>
    </w:p>
    <w:p>
      <w:pPr>
        <w:pStyle w:val="Heading1"/>
      </w:pPr>
      <w:r>
        <w:t>1. Exact Duplicates</w:t>
      </w:r>
    </w:p>
    <w:p>
      <w:r>
        <w:t>Exact duplicates have identical relevant values and can often be detected using a stable fingerprint.</w:t>
      </w:r>
    </w:p>
    <w:p>
      <w:pPr>
        <w:pStyle w:val="Heading1"/>
      </w:pPr>
      <w:r>
        <w:t>2. Near Duplicates</w:t>
      </w:r>
    </w:p>
    <w:p>
      <w:r>
        <w:t>Two records can describe the same entity while differing in formatting or small details.</w:t>
      </w:r>
    </w:p>
    <w:p>
      <w:pPr>
        <w:pStyle w:val="Heading1"/>
      </w:pPr>
      <w:r>
        <w:t>3. Entity Resolution</w:t>
      </w:r>
    </w:p>
    <w:p>
      <w:r>
        <w:t>Entity resolution determines whether records from different sources refer to the same real-world entity.</w:t>
      </w:r>
    </w:p>
    <w:p>
      <w:pPr>
        <w:pStyle w:val="Heading1"/>
      </w:pPr>
      <w:r>
        <w:t>4. Matching Strategies</w:t>
      </w:r>
    </w:p>
    <w:p>
      <w:pPr>
        <w:pStyle w:val="ListBullet"/>
      </w:pPr>
      <w:r>
        <w:t>Exact identifier matching.</w:t>
      </w:r>
    </w:p>
    <w:p>
      <w:pPr>
        <w:pStyle w:val="ListBullet"/>
      </w:pPr>
      <w:r>
        <w:t>Composite key matching.</w:t>
      </w:r>
    </w:p>
    <w:p>
      <w:pPr>
        <w:pStyle w:val="ListBullet"/>
      </w:pPr>
      <w:r>
        <w:t>Normalised text matching.</w:t>
      </w:r>
    </w:p>
    <w:p>
      <w:pPr>
        <w:pStyle w:val="ListBullet"/>
      </w:pPr>
      <w:r>
        <w:t>Fuzzy matching.</w:t>
      </w:r>
    </w:p>
    <w:p>
      <w:pPr>
        <w:pStyle w:val="ListBullet"/>
      </w:pPr>
      <w:r>
        <w:t>Semantic similarity.</w:t>
      </w:r>
    </w:p>
    <w:p>
      <w:pPr>
        <w:pStyle w:val="ListBullet"/>
      </w:pPr>
      <w:r>
        <w:t>Human review for uncertain matches.</w:t>
      </w:r>
    </w:p>
    <w:p>
      <w:pPr>
        <w:pStyle w:val="Heading1"/>
      </w:pPr>
      <w:r>
        <w:t>5. NOVYRA OS Example</w:t>
      </w:r>
    </w:p>
    <w:p>
      <w:r>
        <w:t>The same opportunity may appear on multiple permitted sources.</w:t>
      </w:r>
    </w:p>
    <w:p>
      <w:r>
        <w:t>NOVYRA OS should avoid treating every copy as a new opportunity.</w:t>
      </w:r>
    </w:p>
    <w:p>
      <w:pPr>
        <w:pStyle w:val="Heading1"/>
      </w:pPr>
      <w:r>
        <w:t>6. Confidence</w:t>
      </w:r>
    </w:p>
    <w:p>
      <w:r>
        <w:t>Automated matching should produce a confidence level.</w:t>
      </w:r>
    </w:p>
    <w:p>
      <w:r>
        <w:t>High-confidence matches can be merged automatically.</w:t>
      </w:r>
    </w:p>
    <w:p>
      <w:r>
        <w:t>Low-confidence matches may require review.</w:t>
      </w:r>
    </w:p>
    <w:p>
      <w:pPr>
        <w:pStyle w:val="Heading1"/>
      </w:pPr>
      <w:r>
        <w:t>7. Practical Exercise</w:t>
      </w:r>
    </w:p>
    <w:p>
      <w:r>
        <w:t>Design a deduplication strategy for opportunity records without relying on a single universal identifier.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