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Score Normalisation</w:t>
      </w:r>
    </w:p>
    <w:p>
      <w:r>
        <w:t>NOVYRA OS — Stage 8: Scoring Engine</w:t>
      </w:r>
    </w:p>
    <w:p>
      <w:pPr>
        <w:pStyle w:val="Heading1"/>
      </w:pPr>
      <w:r>
        <w:t>1. Why Normalise?</w:t>
      </w:r>
    </w:p>
    <w:p>
      <w:r>
        <w:t>Different signals may use different scales.</w:t>
      </w:r>
    </w:p>
    <w:p>
      <w:r>
        <w:t>One component may range from 0–1, another from 0–100, and another from negative to positive values.</w:t>
      </w:r>
    </w:p>
    <w:p>
      <w:r>
        <w:t>Normalisation places components on comparable scales before combination.</w:t>
      </w:r>
    </w:p>
    <w:p>
      <w:pPr>
        <w:pStyle w:val="Heading1"/>
      </w:pPr>
      <w:r>
        <w:t>2. Min-Max Concept</w:t>
      </w:r>
    </w:p>
    <w:p>
      <w:r>
        <w:t>A common conceptual transformation maps a value into a fixed range such as 0–100.</w:t>
      </w:r>
    </w:p>
    <w:p>
      <w:r>
        <w:t>The exact method must account for expected minimum and maximum values.</w:t>
      </w:r>
    </w:p>
    <w:p>
      <w:pPr>
        <w:pStyle w:val="Heading1"/>
      </w:pPr>
      <w:r>
        <w:t>3. Percentile-Based Scoring</w:t>
      </w:r>
    </w:p>
    <w:p>
      <w:r>
        <w:t>Percentiles can be useful when distributions contain extreme values.</w:t>
      </w:r>
    </w:p>
    <w:p>
      <w:r>
        <w:t>However, percentile scores describe relative position rather than absolute quality.</w:t>
      </w:r>
    </w:p>
    <w:p>
      <w:pPr>
        <w:pStyle w:val="Heading1"/>
      </w:pPr>
      <w:r>
        <w:t>4. Important Warning</w:t>
      </w:r>
    </w:p>
    <w:p>
      <w:r>
        <w:t>Normalisation does not make bad data good.</w:t>
      </w:r>
    </w:p>
    <w:p>
      <w:r>
        <w:t>It only changes representation.</w:t>
      </w:r>
    </w:p>
    <w:p>
      <w:pPr>
        <w:pStyle w:val="Heading1"/>
      </w:pPr>
      <w:r>
        <w:t>5. Practical Exercise</w:t>
      </w:r>
    </w:p>
    <w:p>
      <w:r>
        <w:t>Design a normalisation strategy for relevance, urgency, and value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